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7D" w:rsidRPr="00A03112" w:rsidRDefault="00A6627D" w:rsidP="00A6627D">
      <w:pPr>
        <w:rPr>
          <w:rFonts w:eastAsia="Calibri"/>
          <w:b/>
          <w:i/>
          <w:sz w:val="22"/>
          <w:szCs w:val="22"/>
        </w:rPr>
      </w:pPr>
    </w:p>
    <w:p w:rsidR="00A774DA" w:rsidRPr="00A03112" w:rsidRDefault="00B55C40" w:rsidP="00A6627D">
      <w:pPr>
        <w:autoSpaceDE w:val="0"/>
        <w:autoSpaceDN w:val="0"/>
        <w:adjustRightInd w:val="0"/>
        <w:jc w:val="center"/>
        <w:rPr>
          <w:rFonts w:eastAsia="Calibri"/>
          <w:b/>
          <w:bCs/>
          <w:sz w:val="22"/>
          <w:szCs w:val="22"/>
        </w:rPr>
      </w:pPr>
      <w:r>
        <w:rPr>
          <w:rFonts w:eastAsia="Calibri"/>
          <w:b/>
          <w:bCs/>
          <w:sz w:val="22"/>
          <w:szCs w:val="22"/>
        </w:rPr>
        <w:t xml:space="preserve">Ціна та складові ціни на електричну енергію для споживачів </w:t>
      </w:r>
    </w:p>
    <w:p w:rsidR="00875361" w:rsidRPr="00E277C8" w:rsidRDefault="00331F14" w:rsidP="00875361">
      <w:pPr>
        <w:autoSpaceDE w:val="0"/>
        <w:autoSpaceDN w:val="0"/>
        <w:adjustRightInd w:val="0"/>
        <w:rPr>
          <w:rFonts w:eastAsia="Calibri"/>
          <w:sz w:val="22"/>
          <w:szCs w:val="22"/>
        </w:rPr>
      </w:pPr>
      <w:r>
        <w:rPr>
          <w:rFonts w:eastAsia="Calibri"/>
          <w:sz w:val="22"/>
          <w:szCs w:val="22"/>
        </w:rPr>
        <w:t>11</w:t>
      </w:r>
      <w:r w:rsidR="00453D0C">
        <w:rPr>
          <w:rFonts w:eastAsia="Calibri"/>
          <w:sz w:val="22"/>
          <w:szCs w:val="22"/>
        </w:rPr>
        <w:t>.01.202</w:t>
      </w:r>
      <w:r>
        <w:rPr>
          <w:rFonts w:eastAsia="Calibri"/>
          <w:sz w:val="22"/>
          <w:szCs w:val="22"/>
        </w:rPr>
        <w:t>2</w:t>
      </w:r>
      <w:bookmarkStart w:id="0" w:name="_GoBack"/>
      <w:bookmarkEnd w:id="0"/>
    </w:p>
    <w:p w:rsidR="00875361" w:rsidRPr="00E277C8" w:rsidRDefault="00875361" w:rsidP="00875361">
      <w:pPr>
        <w:pStyle w:val="a6"/>
        <w:numPr>
          <w:ilvl w:val="0"/>
          <w:numId w:val="1"/>
        </w:numPr>
        <w:tabs>
          <w:tab w:val="left" w:pos="284"/>
        </w:tabs>
        <w:autoSpaceDE w:val="0"/>
        <w:autoSpaceDN w:val="0"/>
        <w:adjustRightInd w:val="0"/>
        <w:spacing w:after="120"/>
        <w:ind w:left="0" w:firstLine="0"/>
        <w:contextualSpacing w:val="0"/>
        <w:jc w:val="both"/>
        <w:rPr>
          <w:rFonts w:ascii="Times New Roman" w:eastAsia="Calibri" w:hAnsi="Times New Roman"/>
          <w:b/>
          <w:sz w:val="22"/>
          <w:szCs w:val="22"/>
          <w:lang w:val="uk-UA"/>
        </w:rPr>
      </w:pPr>
      <w:r w:rsidRPr="00E277C8">
        <w:rPr>
          <w:rFonts w:ascii="Times New Roman" w:eastAsia="Calibri" w:hAnsi="Times New Roman"/>
          <w:b/>
          <w:sz w:val="22"/>
          <w:szCs w:val="22"/>
          <w:lang w:val="uk-UA"/>
        </w:rPr>
        <w:t>Оплата за електричну енергію здійснюється Споживачем за вартістю:</w:t>
      </w:r>
    </w:p>
    <w:p w:rsidR="00875361" w:rsidRPr="00E277C8" w:rsidRDefault="00875361" w:rsidP="00875361">
      <w:pPr>
        <w:pStyle w:val="a6"/>
        <w:autoSpaceDE w:val="0"/>
        <w:autoSpaceDN w:val="0"/>
        <w:ind w:left="0"/>
        <w:jc w:val="both"/>
        <w:rPr>
          <w:rFonts w:ascii="Times New Roman" w:hAnsi="Times New Roman"/>
          <w:sz w:val="22"/>
          <w:szCs w:val="22"/>
          <w:lang w:val="uk-UA" w:eastAsia="uk-UA"/>
        </w:rPr>
      </w:pPr>
      <w:r w:rsidRPr="00E277C8">
        <w:rPr>
          <w:rFonts w:ascii="Times New Roman" w:hAnsi="Times New Roman"/>
          <w:sz w:val="22"/>
          <w:szCs w:val="22"/>
          <w:lang w:val="uk-UA" w:eastAsia="uk-UA"/>
        </w:rPr>
        <w:t>1.1. За результатом постачання електричної енергії Споживачу у відповідному розрахунковому період</w:t>
      </w:r>
      <w:r w:rsidR="00741488">
        <w:rPr>
          <w:rFonts w:ascii="Times New Roman" w:hAnsi="Times New Roman"/>
          <w:sz w:val="22"/>
          <w:szCs w:val="22"/>
          <w:lang w:val="uk-UA" w:eastAsia="uk-UA"/>
        </w:rPr>
        <w:t>т</w:t>
      </w:r>
      <w:r w:rsidRPr="00E277C8">
        <w:rPr>
          <w:rFonts w:ascii="Times New Roman" w:hAnsi="Times New Roman"/>
          <w:sz w:val="22"/>
          <w:szCs w:val="22"/>
          <w:lang w:val="uk-UA" w:eastAsia="uk-UA"/>
        </w:rPr>
        <w:t xml:space="preserve">і, розрахунок вартості поставленої електричної енергії у розрахунковому періоді </w:t>
      </w:r>
      <w:r w:rsidRPr="00E277C8">
        <w:rPr>
          <w:rFonts w:ascii="Times New Roman" w:hAnsi="Times New Roman"/>
          <w:sz w:val="22"/>
          <w:szCs w:val="22"/>
          <w:lang w:val="uk-UA"/>
        </w:rPr>
        <w:t>для площадок вимірювання групи «а» Споживача</w:t>
      </w:r>
      <w:r>
        <w:rPr>
          <w:rFonts w:ascii="Times New Roman" w:hAnsi="Times New Roman"/>
          <w:sz w:val="22"/>
          <w:szCs w:val="22"/>
          <w:lang w:val="uk-UA"/>
        </w:rPr>
        <w:t xml:space="preserve"> (при умові, що відхилення замовленого обсягу від фактичного не перевищує 10 %</w:t>
      </w:r>
      <w:r w:rsidR="00A705BC">
        <w:rPr>
          <w:rFonts w:ascii="Times New Roman" w:hAnsi="Times New Roman"/>
          <w:sz w:val="22"/>
          <w:szCs w:val="22"/>
          <w:lang w:val="uk-UA"/>
        </w:rPr>
        <w:t xml:space="preserve"> (узгоджується з постачальником)</w:t>
      </w:r>
      <w:r>
        <w:rPr>
          <w:rFonts w:ascii="Times New Roman" w:hAnsi="Times New Roman"/>
          <w:sz w:val="22"/>
          <w:szCs w:val="22"/>
          <w:lang w:val="uk-UA"/>
        </w:rPr>
        <w:t xml:space="preserve">) </w:t>
      </w:r>
      <w:r w:rsidRPr="00E277C8">
        <w:rPr>
          <w:rFonts w:ascii="Times New Roman" w:hAnsi="Times New Roman"/>
          <w:sz w:val="22"/>
          <w:szCs w:val="22"/>
          <w:lang w:val="uk-UA" w:eastAsia="uk-UA"/>
        </w:rPr>
        <w:t>здійснюється за такою формулою:</w:t>
      </w:r>
      <w:r>
        <w:rPr>
          <w:rFonts w:ascii="Times New Roman" w:hAnsi="Times New Roman"/>
          <w:sz w:val="22"/>
          <w:szCs w:val="22"/>
          <w:lang w:val="uk-UA" w:eastAsia="uk-UA"/>
        </w:rPr>
        <w:t xml:space="preserve"> </w:t>
      </w:r>
    </w:p>
    <w:p w:rsidR="001B1AC5" w:rsidRPr="001B1AC5" w:rsidRDefault="00331F14" w:rsidP="001B1AC5">
      <w:pPr>
        <w:ind w:firstLine="709"/>
        <w:jc w:val="center"/>
        <w:rPr>
          <w:color w:val="000000"/>
          <w:sz w:val="22"/>
          <w:szCs w:val="22"/>
        </w:rPr>
      </w:pPr>
      <m:oMath>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ф</m:t>
            </m:r>
          </m:sub>
        </m:sSub>
        <m:r>
          <w:rPr>
            <w:rFonts w:ascii="Cambria Math" w:hAnsi="Cambria Math"/>
            <w:sz w:val="22"/>
            <w:szCs w:val="22"/>
          </w:rPr>
          <m:t>=</m:t>
        </m:r>
        <m:nary>
          <m:naryPr>
            <m:chr m:val="∑"/>
            <m:limLoc m:val="undOvr"/>
            <m:subHide m:val="1"/>
            <m:supHide m:val="1"/>
            <m:ctrlPr>
              <w:rPr>
                <w:rFonts w:ascii="Cambria Math" w:hAnsi="Cambria Math"/>
                <w:i/>
                <w:sz w:val="22"/>
                <w:szCs w:val="22"/>
              </w:rPr>
            </m:ctrlPr>
          </m:naryPr>
          <m:sub/>
          <m:sup/>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зг</m:t>
                </m:r>
              </m:sub>
            </m:sSub>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rPr>
                      <m:t>рдн</m:t>
                    </m:r>
                  </m:sub>
                </m:sSub>
                <m:r>
                  <w:rPr>
                    <w:rFonts w:ascii="Cambria Math" w:hAnsi="Cambria Math"/>
                    <w:sz w:val="22"/>
                    <w:szCs w:val="22"/>
                  </w:rPr>
                  <m:t>+М</m:t>
                </m:r>
              </m:e>
            </m:d>
            <m:r>
              <w:rPr>
                <w:rFonts w:ascii="Cambria Math" w:hAnsi="Cambria Math"/>
                <w:sz w:val="22"/>
                <w:szCs w:val="22"/>
              </w:rPr>
              <m:t>+</m:t>
            </m:r>
          </m:e>
        </m:nary>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фг</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зг</m:t>
                </m:r>
              </m:sub>
            </m:sSub>
          </m:e>
        </m:d>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rPr>
                  <m:t>рдн</m:t>
                </m:r>
              </m:sub>
            </m:sSub>
            <m:r>
              <w:rPr>
                <w:rFonts w:ascii="Cambria Math" w:hAnsi="Cambria Math"/>
                <w:sz w:val="22"/>
                <w:szCs w:val="22"/>
              </w:rPr>
              <m:t>+М</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ф</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Т</m:t>
            </m:r>
          </m:e>
          <m:sub>
            <m:r>
              <w:rPr>
                <w:rFonts w:ascii="Cambria Math" w:hAnsi="Cambria Math"/>
                <w:sz w:val="22"/>
                <w:szCs w:val="22"/>
              </w:rPr>
              <m:t>осп</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ф</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Т</m:t>
            </m:r>
          </m:e>
          <m:sub>
            <m:r>
              <w:rPr>
                <w:rFonts w:ascii="Cambria Math" w:hAnsi="Cambria Math"/>
                <w:sz w:val="22"/>
                <w:szCs w:val="22"/>
              </w:rPr>
              <m:t>оср</m:t>
            </m:r>
          </m:sub>
        </m:sSub>
      </m:oMath>
      <w:r w:rsidR="001B1AC5" w:rsidRPr="001B1AC5">
        <w:rPr>
          <w:rFonts w:eastAsiaTheme="minorEastAsia"/>
          <w:sz w:val="22"/>
          <w:szCs w:val="22"/>
        </w:rPr>
        <w:t xml:space="preserve"> </w:t>
      </w:r>
      <w:r w:rsidR="001B1AC5" w:rsidRPr="001B1AC5">
        <w:rPr>
          <w:color w:val="000000"/>
          <w:sz w:val="22"/>
          <w:szCs w:val="22"/>
        </w:rPr>
        <w:t>, де</w:t>
      </w:r>
    </w:p>
    <w:p w:rsidR="001B1AC5" w:rsidRPr="001B1AC5" w:rsidRDefault="001B1AC5" w:rsidP="001B1AC5">
      <w:pPr>
        <w:ind w:firstLine="709"/>
        <w:jc w:val="center"/>
        <w:rPr>
          <w:rFonts w:eastAsiaTheme="minorEastAsia"/>
          <w:sz w:val="22"/>
          <w:szCs w:val="22"/>
        </w:rPr>
      </w:pPr>
    </w:p>
    <w:p w:rsidR="001B1AC5" w:rsidRPr="001B1AC5" w:rsidRDefault="00331F14" w:rsidP="001B1AC5">
      <w:pPr>
        <w:ind w:firstLine="709"/>
        <w:jc w:val="both"/>
        <w:rPr>
          <w:sz w:val="22"/>
          <w:szCs w:val="22"/>
        </w:rPr>
      </w:pPr>
      <m:oMath>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ф</m:t>
            </m:r>
          </m:sub>
        </m:sSub>
      </m:oMath>
      <w:r w:rsidR="001B1AC5" w:rsidRPr="001B1AC5">
        <w:rPr>
          <w:sz w:val="22"/>
          <w:szCs w:val="22"/>
        </w:rPr>
        <w:t xml:space="preserve"> – вартість фактичного місячного обсягу електричної енергії у розрахунковому місяці постачання, грн./</w:t>
      </w:r>
      <w:proofErr w:type="spellStart"/>
      <w:r w:rsidR="001B1AC5" w:rsidRPr="001B1AC5">
        <w:rPr>
          <w:sz w:val="22"/>
          <w:szCs w:val="22"/>
        </w:rPr>
        <w:t>МВт</w:t>
      </w:r>
      <w:proofErr w:type="spellEnd"/>
      <w:r w:rsidR="001B1AC5" w:rsidRPr="001B1AC5">
        <w:rPr>
          <w:sz w:val="22"/>
          <w:szCs w:val="22"/>
        </w:rPr>
        <w:t>-год. без ПДВ;</w:t>
      </w:r>
    </w:p>
    <w:p w:rsidR="001B1AC5" w:rsidRPr="001B1AC5" w:rsidRDefault="00331F14" w:rsidP="001B1AC5">
      <w:pPr>
        <w:tabs>
          <w:tab w:val="left" w:pos="567"/>
        </w:tabs>
        <w:ind w:firstLine="709"/>
        <w:jc w:val="both"/>
        <w:rPr>
          <w:color w:val="000000"/>
          <w:sz w:val="22"/>
          <w:szCs w:val="22"/>
        </w:rPr>
      </w:pP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зг</m:t>
            </m:r>
          </m:sub>
        </m:sSub>
      </m:oMath>
      <w:r w:rsidR="001B1AC5" w:rsidRPr="001B1AC5">
        <w:rPr>
          <w:color w:val="000000"/>
          <w:sz w:val="22"/>
          <w:szCs w:val="22"/>
        </w:rPr>
        <w:t xml:space="preserve"> – заявлений обсяг постачання електричної енергії у відповідну годину відповідної доби розрахункового місяця, МВт-год, визначений у Повідомленні </w:t>
      </w:r>
      <w:r w:rsidR="001B1AC5" w:rsidRPr="001B1AC5">
        <w:rPr>
          <w:sz w:val="22"/>
          <w:szCs w:val="22"/>
        </w:rPr>
        <w:t>з погодинним обсягом купівлі-продажу електричної енергії</w:t>
      </w:r>
      <w:r w:rsidR="001B1AC5" w:rsidRPr="001B1AC5">
        <w:rPr>
          <w:color w:val="000000"/>
          <w:sz w:val="22"/>
          <w:szCs w:val="22"/>
        </w:rPr>
        <w:t xml:space="preserve"> на розрахунковий місяць, що подається до 10-00 19 числа місяця, що передує розрахунковому, та відкоригований відповідно до пункту 3.3.1. Договору;</w:t>
      </w:r>
    </w:p>
    <w:p w:rsidR="001B1AC5" w:rsidRPr="001B1AC5" w:rsidRDefault="00331F14" w:rsidP="001B1AC5">
      <w:pPr>
        <w:tabs>
          <w:tab w:val="left" w:pos="1134"/>
        </w:tabs>
        <w:ind w:firstLine="709"/>
        <w:jc w:val="both"/>
        <w:rPr>
          <w:color w:val="000000"/>
          <w:sz w:val="22"/>
          <w:szCs w:val="22"/>
        </w:rPr>
      </w:pP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ф</m:t>
            </m:r>
          </m:sub>
        </m:sSub>
      </m:oMath>
      <w:r w:rsidR="001B1AC5" w:rsidRPr="001B1AC5">
        <w:rPr>
          <w:b/>
          <w:color w:val="000000"/>
          <w:sz w:val="22"/>
          <w:szCs w:val="22"/>
        </w:rPr>
        <w:t xml:space="preserve"> – </w:t>
      </w:r>
      <w:r w:rsidR="001B1AC5" w:rsidRPr="001B1AC5">
        <w:rPr>
          <w:color w:val="000000"/>
          <w:sz w:val="22"/>
          <w:szCs w:val="22"/>
        </w:rPr>
        <w:t xml:space="preserve">фактичний обсяг постачання електричної енергії місяця постачання, </w:t>
      </w:r>
      <w:proofErr w:type="spellStart"/>
      <w:r w:rsidR="001B1AC5" w:rsidRPr="001B1AC5">
        <w:rPr>
          <w:color w:val="000000"/>
          <w:sz w:val="22"/>
          <w:szCs w:val="22"/>
        </w:rPr>
        <w:t>МВт</w:t>
      </w:r>
      <w:proofErr w:type="spellEnd"/>
      <w:r w:rsidR="001B1AC5" w:rsidRPr="001B1AC5">
        <w:rPr>
          <w:color w:val="000000"/>
          <w:sz w:val="22"/>
          <w:szCs w:val="22"/>
        </w:rPr>
        <w:t>-год;</w:t>
      </w:r>
    </w:p>
    <w:p w:rsidR="001B1AC5" w:rsidRPr="001B1AC5" w:rsidRDefault="00331F14" w:rsidP="001B1AC5">
      <w:pPr>
        <w:tabs>
          <w:tab w:val="left" w:pos="1134"/>
        </w:tabs>
        <w:ind w:firstLine="709"/>
        <w:jc w:val="both"/>
        <w:rPr>
          <w:color w:val="000000"/>
          <w:sz w:val="22"/>
          <w:szCs w:val="22"/>
        </w:rPr>
      </w:pP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фг</m:t>
            </m:r>
          </m:sub>
        </m:sSub>
        <m:r>
          <w:rPr>
            <w:rFonts w:ascii="Cambria Math" w:hAnsi="Cambria Math"/>
            <w:sz w:val="22"/>
            <w:szCs w:val="22"/>
          </w:rPr>
          <m:t xml:space="preserve"> </m:t>
        </m:r>
      </m:oMath>
      <w:r w:rsidR="001B1AC5" w:rsidRPr="001B1AC5">
        <w:rPr>
          <w:b/>
          <w:color w:val="000000"/>
          <w:sz w:val="22"/>
          <w:szCs w:val="22"/>
        </w:rPr>
        <w:t xml:space="preserve">– </w:t>
      </w:r>
      <w:r w:rsidR="001B1AC5" w:rsidRPr="001B1AC5">
        <w:rPr>
          <w:color w:val="000000"/>
          <w:sz w:val="22"/>
          <w:szCs w:val="22"/>
        </w:rPr>
        <w:t xml:space="preserve">фактичний обсяг постачання електричної енергії у відповідну годину відповідної доби місяця постачання, </w:t>
      </w:r>
      <w:proofErr w:type="spellStart"/>
      <w:r w:rsidR="001B1AC5" w:rsidRPr="001B1AC5">
        <w:rPr>
          <w:color w:val="000000"/>
          <w:sz w:val="22"/>
          <w:szCs w:val="22"/>
        </w:rPr>
        <w:t>МВт</w:t>
      </w:r>
      <w:proofErr w:type="spellEnd"/>
      <w:r w:rsidR="001B1AC5" w:rsidRPr="001B1AC5">
        <w:rPr>
          <w:color w:val="000000"/>
          <w:sz w:val="22"/>
          <w:szCs w:val="22"/>
        </w:rPr>
        <w:t>-год;</w:t>
      </w:r>
    </w:p>
    <w:p w:rsidR="001B1AC5" w:rsidRPr="001B1AC5" w:rsidRDefault="00331F14" w:rsidP="001B1AC5">
      <w:pPr>
        <w:tabs>
          <w:tab w:val="left" w:pos="1134"/>
        </w:tabs>
        <w:ind w:firstLine="709"/>
        <w:jc w:val="both"/>
        <w:rPr>
          <w:color w:val="000000"/>
          <w:sz w:val="22"/>
          <w:szCs w:val="22"/>
        </w:rPr>
      </w:pPr>
      <m:oMath>
        <m:sSub>
          <m:sSubPr>
            <m:ctrlPr>
              <w:rPr>
                <w:rFonts w:ascii="Cambria Math" w:hAnsi="Cambria Math"/>
                <w:i/>
                <w:sz w:val="22"/>
                <w:szCs w:val="22"/>
              </w:rPr>
            </m:ctrlPr>
          </m:sSubPr>
          <m:e>
            <m:r>
              <w:rPr>
                <w:rFonts w:ascii="Cambria Math" w:hAnsi="Cambria Math"/>
                <w:sz w:val="22"/>
                <w:szCs w:val="22"/>
              </w:rPr>
              <m:t>Т</m:t>
            </m:r>
          </m:e>
          <m:sub>
            <m:r>
              <w:rPr>
                <w:rFonts w:ascii="Cambria Math" w:hAnsi="Cambria Math"/>
                <w:sz w:val="22"/>
                <w:szCs w:val="22"/>
              </w:rPr>
              <m:t>осп</m:t>
            </m:r>
          </m:sub>
        </m:sSub>
      </m:oMath>
      <w:r w:rsidR="001B1AC5" w:rsidRPr="001B1AC5">
        <w:rPr>
          <w:b/>
          <w:color w:val="000000"/>
          <w:sz w:val="22"/>
          <w:szCs w:val="22"/>
        </w:rPr>
        <w:t xml:space="preserve"> –</w:t>
      </w:r>
      <w:r w:rsidR="001B1AC5" w:rsidRPr="001B1AC5">
        <w:rPr>
          <w:color w:val="000000"/>
          <w:sz w:val="22"/>
          <w:szCs w:val="22"/>
        </w:rPr>
        <w:t xml:space="preserve"> тариф на послуги з передачі електричної енергії, який встановлюється Регулятором відповідно до затвердженої ним методики та оприлюднюється ОСП на власному веб-сайті в мережі Інтернет у триденний термін після затвердження його Регулятором, грн./</w:t>
      </w:r>
      <w:proofErr w:type="spellStart"/>
      <w:r w:rsidR="001B1AC5" w:rsidRPr="001B1AC5">
        <w:rPr>
          <w:color w:val="000000"/>
          <w:sz w:val="22"/>
          <w:szCs w:val="22"/>
        </w:rPr>
        <w:t>МВт</w:t>
      </w:r>
      <w:proofErr w:type="spellEnd"/>
      <w:r w:rsidR="001B1AC5" w:rsidRPr="001B1AC5">
        <w:rPr>
          <w:color w:val="000000"/>
          <w:sz w:val="22"/>
          <w:szCs w:val="22"/>
        </w:rPr>
        <w:t>-год.;</w:t>
      </w:r>
    </w:p>
    <w:p w:rsidR="001B1AC5" w:rsidRPr="001B1AC5" w:rsidRDefault="00331F14" w:rsidP="001B1AC5">
      <w:pPr>
        <w:tabs>
          <w:tab w:val="left" w:pos="1134"/>
        </w:tabs>
        <w:ind w:firstLine="709"/>
        <w:jc w:val="both"/>
        <w:rPr>
          <w:color w:val="000000"/>
          <w:sz w:val="22"/>
          <w:szCs w:val="22"/>
        </w:rPr>
      </w:pPr>
      <m:oMath>
        <m:sSub>
          <m:sSubPr>
            <m:ctrlPr>
              <w:rPr>
                <w:rFonts w:ascii="Cambria Math" w:hAnsi="Cambria Math"/>
                <w:i/>
                <w:sz w:val="22"/>
                <w:szCs w:val="22"/>
              </w:rPr>
            </m:ctrlPr>
          </m:sSubPr>
          <m:e>
            <m:r>
              <w:rPr>
                <w:rFonts w:ascii="Cambria Math" w:hAnsi="Cambria Math"/>
                <w:sz w:val="22"/>
                <w:szCs w:val="22"/>
              </w:rPr>
              <m:t>Т</m:t>
            </m:r>
          </m:e>
          <m:sub>
            <m:r>
              <w:rPr>
                <w:rFonts w:ascii="Cambria Math" w:hAnsi="Cambria Math"/>
                <w:sz w:val="22"/>
                <w:szCs w:val="22"/>
              </w:rPr>
              <m:t>оср</m:t>
            </m:r>
          </m:sub>
        </m:sSub>
      </m:oMath>
      <w:r w:rsidR="001B1AC5" w:rsidRPr="001B1AC5">
        <w:rPr>
          <w:b/>
          <w:color w:val="000000"/>
          <w:sz w:val="22"/>
          <w:szCs w:val="22"/>
        </w:rPr>
        <w:t xml:space="preserve"> –</w:t>
      </w:r>
      <w:r w:rsidR="001B1AC5" w:rsidRPr="001B1AC5">
        <w:rPr>
          <w:color w:val="000000"/>
          <w:sz w:val="22"/>
          <w:szCs w:val="22"/>
        </w:rPr>
        <w:t xml:space="preserve"> тариф на послуги з розподілу електричної енергії, який встановлюється Регулятором відповідно до затвердженої ним методики та оприлюднюється ОСР на власних веб-сайтах в мережі Інтернет у триденний термін після затвердження їх Регулятором, грн./</w:t>
      </w:r>
      <w:proofErr w:type="spellStart"/>
      <w:r w:rsidR="001B1AC5" w:rsidRPr="001B1AC5">
        <w:rPr>
          <w:color w:val="000000"/>
          <w:sz w:val="22"/>
          <w:szCs w:val="22"/>
        </w:rPr>
        <w:t>МВт</w:t>
      </w:r>
      <w:proofErr w:type="spellEnd"/>
      <w:r w:rsidR="001B1AC5" w:rsidRPr="001B1AC5">
        <w:rPr>
          <w:color w:val="000000"/>
          <w:sz w:val="22"/>
          <w:szCs w:val="22"/>
        </w:rPr>
        <w:t>-год.;</w:t>
      </w:r>
    </w:p>
    <w:p w:rsidR="001B1AC5" w:rsidRPr="001B1AC5" w:rsidRDefault="00331F14" w:rsidP="001B1AC5">
      <w:pPr>
        <w:ind w:firstLine="709"/>
        <w:jc w:val="both"/>
        <w:rPr>
          <w:rFonts w:eastAsiaTheme="minorEastAsia"/>
          <w:sz w:val="22"/>
          <w:szCs w:val="22"/>
        </w:rPr>
      </w:pPr>
      <m:oMath>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rPr>
              <m:t>рдн</m:t>
            </m:r>
          </m:sub>
        </m:sSub>
      </m:oMath>
      <w:r w:rsidR="001B1AC5" w:rsidRPr="001B1AC5">
        <w:rPr>
          <w:rFonts w:eastAsiaTheme="minorEastAsia"/>
          <w:sz w:val="22"/>
          <w:szCs w:val="22"/>
        </w:rPr>
        <w:t xml:space="preserve"> – </w:t>
      </w:r>
      <w:r w:rsidR="001B1AC5" w:rsidRPr="001B1AC5">
        <w:rPr>
          <w:sz w:val="22"/>
          <w:szCs w:val="22"/>
        </w:rPr>
        <w:t xml:space="preserve">фактична ціна купівлі-продажу електричної енергії, яка склалася на ринку «на добу наперед» у відповідну годину постачання, </w:t>
      </w:r>
      <w:r w:rsidR="001B1AC5" w:rsidRPr="001B1AC5">
        <w:rPr>
          <w:color w:val="000000"/>
          <w:sz w:val="22"/>
          <w:szCs w:val="22"/>
        </w:rPr>
        <w:t>грн./</w:t>
      </w:r>
      <w:proofErr w:type="spellStart"/>
      <w:r w:rsidR="001B1AC5" w:rsidRPr="001B1AC5">
        <w:rPr>
          <w:color w:val="000000"/>
          <w:sz w:val="22"/>
          <w:szCs w:val="22"/>
        </w:rPr>
        <w:t>МВт</w:t>
      </w:r>
      <w:proofErr w:type="spellEnd"/>
      <w:r w:rsidR="001B1AC5" w:rsidRPr="001B1AC5">
        <w:rPr>
          <w:color w:val="000000"/>
          <w:sz w:val="22"/>
          <w:szCs w:val="22"/>
        </w:rPr>
        <w:t>-год.</w:t>
      </w:r>
      <w:r w:rsidR="001B1AC5" w:rsidRPr="001B1AC5">
        <w:rPr>
          <w:sz w:val="22"/>
          <w:szCs w:val="22"/>
        </w:rPr>
        <w:t xml:space="preserve"> Така ціна зазначається на сайті Оператора ринку: http://www.oree.com.ua/;</w:t>
      </w:r>
    </w:p>
    <w:p w:rsidR="001B1AC5" w:rsidRPr="001B1AC5" w:rsidRDefault="001B1AC5" w:rsidP="001B1AC5">
      <w:pPr>
        <w:ind w:firstLine="709"/>
        <w:jc w:val="both"/>
        <w:rPr>
          <w:sz w:val="22"/>
          <w:szCs w:val="22"/>
        </w:rPr>
      </w:pPr>
      <m:oMath>
        <m:r>
          <w:rPr>
            <w:rFonts w:ascii="Cambria Math" w:hAnsi="Cambria Math"/>
            <w:sz w:val="22"/>
            <w:szCs w:val="22"/>
          </w:rPr>
          <m:t>М</m:t>
        </m:r>
      </m:oMath>
      <w:r w:rsidRPr="001B1AC5">
        <w:rPr>
          <w:sz w:val="22"/>
          <w:szCs w:val="22"/>
        </w:rPr>
        <w:t xml:space="preserve"> – маржа Постачальника, що складає </w:t>
      </w:r>
      <w:r w:rsidR="00574025">
        <w:rPr>
          <w:sz w:val="22"/>
          <w:szCs w:val="22"/>
        </w:rPr>
        <w:t xml:space="preserve">(див. дод. 1) </w:t>
      </w:r>
      <w:r w:rsidRPr="001B1AC5">
        <w:rPr>
          <w:sz w:val="22"/>
          <w:szCs w:val="22"/>
        </w:rPr>
        <w:t xml:space="preserve">% від </w:t>
      </w:r>
      <m:oMath>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rPr>
              <m:t>рдн</m:t>
            </m:r>
          </m:sub>
        </m:sSub>
      </m:oMath>
      <w:r w:rsidRPr="001B1AC5">
        <w:rPr>
          <w:sz w:val="22"/>
          <w:szCs w:val="22"/>
        </w:rPr>
        <w:t>, грн./МВт-год.;</w:t>
      </w:r>
    </w:p>
    <w:p w:rsidR="001B1AC5" w:rsidRPr="001B1AC5" w:rsidRDefault="00B8711B" w:rsidP="001B1AC5">
      <w:pPr>
        <w:ind w:firstLine="709"/>
        <w:jc w:val="both"/>
        <w:rPr>
          <w:rFonts w:eastAsiaTheme="minorEastAsia"/>
          <w:sz w:val="22"/>
          <w:szCs w:val="22"/>
        </w:rPr>
      </w:pPr>
      <w:r>
        <w:rPr>
          <w:rFonts w:eastAsiaTheme="minorEastAsia"/>
          <w:sz w:val="22"/>
          <w:szCs w:val="22"/>
        </w:rPr>
        <w:t xml:space="preserve">Т – </w:t>
      </w:r>
      <w:proofErr w:type="spellStart"/>
      <w:r>
        <w:rPr>
          <w:rFonts w:eastAsiaTheme="minorEastAsia"/>
          <w:sz w:val="22"/>
          <w:szCs w:val="22"/>
        </w:rPr>
        <w:t>толеранс</w:t>
      </w:r>
      <w:proofErr w:type="spellEnd"/>
      <w:r w:rsidR="001B1AC5" w:rsidRPr="001B1AC5">
        <w:rPr>
          <w:rFonts w:eastAsiaTheme="minorEastAsia"/>
          <w:sz w:val="22"/>
          <w:szCs w:val="22"/>
        </w:rPr>
        <w:t>.</w:t>
      </w:r>
    </w:p>
    <w:p w:rsidR="001B1AC5" w:rsidRPr="001B1AC5" w:rsidRDefault="001B1AC5" w:rsidP="001B1AC5">
      <w:pPr>
        <w:ind w:firstLine="709"/>
        <w:jc w:val="both"/>
        <w:rPr>
          <w:rFonts w:eastAsiaTheme="minorEastAsia"/>
          <w:sz w:val="22"/>
          <w:szCs w:val="22"/>
        </w:rPr>
      </w:pPr>
    </w:p>
    <w:p w:rsidR="001B1AC5" w:rsidRPr="001B1AC5" w:rsidRDefault="001B1AC5" w:rsidP="001B1AC5">
      <w:pPr>
        <w:tabs>
          <w:tab w:val="left" w:pos="1134"/>
        </w:tabs>
        <w:ind w:left="1276" w:hanging="709"/>
        <w:jc w:val="both"/>
        <w:rPr>
          <w:rFonts w:cstheme="minorHAnsi"/>
          <w:sz w:val="22"/>
          <w:szCs w:val="22"/>
        </w:rPr>
      </w:pPr>
      <w:r w:rsidRPr="001B1AC5">
        <w:rPr>
          <w:b/>
          <w:sz w:val="22"/>
          <w:szCs w:val="22"/>
        </w:rPr>
        <w:t xml:space="preserve">Для надання ціни в абсолютному значенні надайте почасове використання електроенергії за останній місяць. </w:t>
      </w:r>
      <w:r w:rsidRPr="001B1AC5">
        <w:rPr>
          <w:rFonts w:cstheme="minorHAnsi"/>
          <w:sz w:val="22"/>
          <w:szCs w:val="22"/>
        </w:rPr>
        <w:t xml:space="preserve">                                                                    </w:t>
      </w:r>
    </w:p>
    <w:p w:rsidR="001B1AC5" w:rsidRPr="001B1AC5" w:rsidRDefault="001B1AC5" w:rsidP="001B1AC5">
      <w:pPr>
        <w:tabs>
          <w:tab w:val="left" w:pos="1134"/>
        </w:tabs>
        <w:ind w:left="709" w:hanging="709"/>
        <w:jc w:val="center"/>
        <w:rPr>
          <w:i/>
          <w:sz w:val="22"/>
          <w:szCs w:val="22"/>
        </w:rPr>
      </w:pPr>
      <w:r w:rsidRPr="001B1AC5">
        <w:rPr>
          <w:i/>
          <w:sz w:val="22"/>
          <w:szCs w:val="22"/>
        </w:rPr>
        <w:t>При перевищенні фактично поставленого обсягу заявленому більше, ніж на 10 %, вартість розраховується за формулою:</w:t>
      </w:r>
    </w:p>
    <w:p w:rsidR="001B1AC5" w:rsidRPr="001B1AC5" w:rsidRDefault="00331F14" w:rsidP="001B1AC5">
      <w:pPr>
        <w:ind w:firstLine="709"/>
        <w:jc w:val="center"/>
        <w:rPr>
          <w:rFonts w:eastAsiaTheme="minorEastAsia"/>
          <w:sz w:val="22"/>
          <w:szCs w:val="22"/>
        </w:rPr>
      </w:pPr>
      <m:oMath>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ф</m:t>
            </m:r>
          </m:sub>
        </m:sSub>
        <m:r>
          <w:rPr>
            <w:rFonts w:ascii="Cambria Math" w:hAnsi="Cambria Math"/>
            <w:sz w:val="22"/>
            <w:szCs w:val="22"/>
          </w:rPr>
          <m:t>=</m:t>
        </m:r>
        <m:nary>
          <m:naryPr>
            <m:chr m:val="∑"/>
            <m:limLoc m:val="undOvr"/>
            <m:subHide m:val="1"/>
            <m:supHide m:val="1"/>
            <m:ctrlPr>
              <w:rPr>
                <w:rFonts w:ascii="Cambria Math" w:hAnsi="Cambria Math"/>
                <w:i/>
                <w:sz w:val="22"/>
                <w:szCs w:val="22"/>
              </w:rPr>
            </m:ctrlPr>
          </m:naryPr>
          <m:sub/>
          <m:sup/>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зг</m:t>
                </m:r>
              </m:sub>
            </m:sSub>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rPr>
                      <m:t>рдн</m:t>
                    </m:r>
                  </m:sub>
                </m:sSub>
                <m:r>
                  <w:rPr>
                    <w:rFonts w:ascii="Cambria Math" w:hAnsi="Cambria Math"/>
                    <w:sz w:val="22"/>
                    <w:szCs w:val="22"/>
                  </w:rPr>
                  <m:t>+М</m:t>
                </m:r>
              </m:e>
            </m:d>
            <m:r>
              <w:rPr>
                <w:rFonts w:ascii="Cambria Math" w:hAnsi="Cambria Math"/>
                <w:sz w:val="22"/>
                <w:szCs w:val="22"/>
              </w:rPr>
              <m:t>+Т*</m:t>
            </m:r>
          </m:e>
        </m:nary>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зг</m:t>
            </m:r>
          </m:sub>
        </m:sSub>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rPr>
                  <m:t>рдн</m:t>
                </m:r>
              </m:sub>
            </m:sSub>
            <m:r>
              <w:rPr>
                <w:rFonts w:ascii="Cambria Math" w:hAnsi="Cambria Math"/>
                <w:sz w:val="22"/>
                <w:szCs w:val="22"/>
              </w:rPr>
              <m:t>+М</m:t>
            </m:r>
          </m:e>
        </m:d>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фг</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зг</m:t>
                </m:r>
              </m:sub>
            </m:sSub>
            <m:r>
              <w:rPr>
                <w:rFonts w:ascii="Cambria Math" w:hAnsi="Cambria Math"/>
                <w:sz w:val="22"/>
                <w:szCs w:val="22"/>
              </w:rPr>
              <m:t>-Т*</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зг</m:t>
                </m:r>
              </m:sub>
            </m:sSub>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Ц</m:t>
            </m:r>
          </m:e>
          <m:sub>
            <m:r>
              <w:rPr>
                <w:rFonts w:ascii="Cambria Math" w:hAnsi="Cambria Math"/>
                <w:sz w:val="22"/>
                <w:szCs w:val="22"/>
              </w:rPr>
              <m:t>нб</m:t>
            </m:r>
          </m:sub>
          <m:sup>
            <m:r>
              <w:rPr>
                <w:rFonts w:ascii="Cambria Math" w:hAnsi="Cambria Math"/>
                <w:sz w:val="22"/>
                <w:szCs w:val="22"/>
              </w:rPr>
              <m:t>V&lt;0</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ф</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Т</m:t>
            </m:r>
          </m:e>
          <m:sub>
            <m:r>
              <w:rPr>
                <w:rFonts w:ascii="Cambria Math" w:hAnsi="Cambria Math"/>
                <w:sz w:val="22"/>
                <w:szCs w:val="22"/>
              </w:rPr>
              <m:t>осп</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ф</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Т</m:t>
            </m:r>
          </m:e>
          <m:sub>
            <m:r>
              <w:rPr>
                <w:rFonts w:ascii="Cambria Math" w:hAnsi="Cambria Math"/>
                <w:sz w:val="22"/>
                <w:szCs w:val="22"/>
              </w:rPr>
              <m:t>оср</m:t>
            </m:r>
          </m:sub>
        </m:sSub>
      </m:oMath>
      <w:r w:rsidR="001B1AC5" w:rsidRPr="001B1AC5">
        <w:rPr>
          <w:rFonts w:eastAsiaTheme="minorEastAsia"/>
          <w:sz w:val="22"/>
          <w:szCs w:val="22"/>
        </w:rPr>
        <w:t>,</w:t>
      </w:r>
    </w:p>
    <w:p w:rsidR="001B1AC5" w:rsidRPr="001B1AC5" w:rsidRDefault="00331F14" w:rsidP="001B1AC5">
      <w:pPr>
        <w:ind w:firstLine="709"/>
        <w:jc w:val="center"/>
        <w:rPr>
          <w:rFonts w:eastAsiaTheme="minorEastAsia"/>
          <w:sz w:val="22"/>
          <w:szCs w:val="22"/>
        </w:rPr>
      </w:pPr>
      <m:oMathPara>
        <m:oMath>
          <m:sSubSup>
            <m:sSubSupPr>
              <m:ctrlPr>
                <w:rPr>
                  <w:rFonts w:ascii="Cambria Math" w:hAnsi="Cambria Math"/>
                  <w:i/>
                  <w:sz w:val="22"/>
                  <w:szCs w:val="22"/>
                </w:rPr>
              </m:ctrlPr>
            </m:sSubSupPr>
            <m:e>
              <m:r>
                <w:rPr>
                  <w:rFonts w:ascii="Cambria Math" w:hAnsi="Cambria Math"/>
                  <w:sz w:val="22"/>
                  <w:szCs w:val="22"/>
                </w:rPr>
                <m:t>Ц</m:t>
              </m:r>
            </m:e>
            <m:sub>
              <m:r>
                <w:rPr>
                  <w:rFonts w:ascii="Cambria Math" w:hAnsi="Cambria Math"/>
                  <w:sz w:val="22"/>
                  <w:szCs w:val="22"/>
                </w:rPr>
                <m:t>нб</m:t>
              </m:r>
            </m:sub>
            <m:sup>
              <m:r>
                <w:rPr>
                  <w:rFonts w:ascii="Cambria Math" w:hAnsi="Cambria Math"/>
                  <w:sz w:val="22"/>
                  <w:szCs w:val="22"/>
                </w:rPr>
                <m:t>V&lt;0</m:t>
              </m:r>
            </m:sup>
          </m:sSubSup>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max</m:t>
              </m:r>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rPr>
                        <m:t>рдн</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rPr>
                        <m:t>бр</m:t>
                      </m:r>
                    </m:sub>
                  </m:sSub>
                </m:e>
              </m:d>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К</m:t>
                  </m:r>
                </m:e>
                <m:sup>
                  <m:r>
                    <w:rPr>
                      <w:rFonts w:ascii="Cambria Math" w:hAnsi="Cambria Math"/>
                      <w:sz w:val="22"/>
                      <w:szCs w:val="22"/>
                    </w:rPr>
                    <m:t>im</m:t>
                  </m:r>
                </m:sup>
              </m:sSup>
              <m:r>
                <w:rPr>
                  <w:rFonts w:ascii="Cambria Math" w:hAnsi="Cambria Math"/>
                  <w:sz w:val="22"/>
                  <w:szCs w:val="22"/>
                </w:rPr>
                <m:t>)</m:t>
              </m:r>
            </m:e>
          </m:func>
          <m:r>
            <w:rPr>
              <w:rFonts w:ascii="Cambria Math" w:hAnsi="Cambria Math"/>
              <w:sz w:val="22"/>
              <w:szCs w:val="22"/>
            </w:rPr>
            <m:t>.</m:t>
          </m:r>
        </m:oMath>
      </m:oMathPara>
    </w:p>
    <w:p w:rsidR="001B1AC5" w:rsidRPr="001B1AC5" w:rsidRDefault="001B1AC5" w:rsidP="001B1AC5">
      <w:pPr>
        <w:pStyle w:val="a6"/>
        <w:tabs>
          <w:tab w:val="left" w:pos="1134"/>
        </w:tabs>
        <w:ind w:left="927"/>
        <w:jc w:val="center"/>
        <w:rPr>
          <w:rFonts w:ascii="Times New Roman" w:hAnsi="Times New Roman"/>
          <w:sz w:val="22"/>
          <w:szCs w:val="22"/>
          <w:lang w:val="uk-UA"/>
        </w:rPr>
      </w:pPr>
    </w:p>
    <w:p w:rsidR="001B1AC5" w:rsidRPr="001B1AC5" w:rsidRDefault="001B1AC5" w:rsidP="001B1AC5">
      <w:pPr>
        <w:tabs>
          <w:tab w:val="left" w:pos="1134"/>
        </w:tabs>
        <w:ind w:left="567"/>
        <w:jc w:val="center"/>
        <w:rPr>
          <w:i/>
          <w:sz w:val="22"/>
          <w:szCs w:val="22"/>
        </w:rPr>
      </w:pPr>
      <w:r w:rsidRPr="001B1AC5">
        <w:rPr>
          <w:i/>
          <w:sz w:val="22"/>
          <w:szCs w:val="22"/>
        </w:rPr>
        <w:t>У разі фактичного споживання менше замовленого більше, ніж на 10 %, вартість розраховується за формулою:</w:t>
      </w:r>
    </w:p>
    <w:p w:rsidR="001B1AC5" w:rsidRPr="001B1AC5" w:rsidRDefault="00331F14" w:rsidP="001B1AC5">
      <w:pPr>
        <w:ind w:firstLine="709"/>
        <w:jc w:val="center"/>
        <w:rPr>
          <w:rFonts w:eastAsiaTheme="minorEastAsia"/>
          <w:sz w:val="22"/>
          <w:szCs w:val="22"/>
        </w:rPr>
      </w:pPr>
      <m:oMath>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ф</m:t>
            </m:r>
          </m:sub>
        </m:sSub>
        <m:r>
          <w:rPr>
            <w:rFonts w:ascii="Cambria Math" w:hAnsi="Cambria Math"/>
            <w:sz w:val="22"/>
            <w:szCs w:val="22"/>
          </w:rPr>
          <m:t>=</m:t>
        </m:r>
        <m:nary>
          <m:naryPr>
            <m:chr m:val="∑"/>
            <m:limLoc m:val="undOvr"/>
            <m:subHide m:val="1"/>
            <m:supHide m:val="1"/>
            <m:ctrlPr>
              <w:rPr>
                <w:rFonts w:ascii="Cambria Math" w:hAnsi="Cambria Math"/>
                <w:i/>
                <w:sz w:val="22"/>
                <w:szCs w:val="22"/>
              </w:rPr>
            </m:ctrlPr>
          </m:naryPr>
          <m:sub/>
          <m:sup/>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зг</m:t>
                </m:r>
              </m:sub>
            </m:sSub>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rPr>
                      <m:t>рдн</m:t>
                    </m:r>
                  </m:sub>
                </m:sSub>
                <m:r>
                  <w:rPr>
                    <w:rFonts w:ascii="Cambria Math" w:hAnsi="Cambria Math"/>
                    <w:sz w:val="22"/>
                    <w:szCs w:val="22"/>
                  </w:rPr>
                  <m:t>+М</m:t>
                </m:r>
              </m:e>
            </m:d>
            <m:r>
              <w:rPr>
                <w:rFonts w:ascii="Cambria Math" w:hAnsi="Cambria Math"/>
                <w:sz w:val="22"/>
                <w:szCs w:val="22"/>
              </w:rPr>
              <m:t>-Т*</m:t>
            </m:r>
          </m:e>
        </m:nary>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зг</m:t>
            </m:r>
          </m:sub>
        </m:sSub>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rPr>
                  <m:t>рдн</m:t>
                </m:r>
              </m:sub>
            </m:sSub>
            <m:r>
              <w:rPr>
                <w:rFonts w:ascii="Cambria Math" w:hAnsi="Cambria Math"/>
                <w:sz w:val="22"/>
                <w:szCs w:val="22"/>
              </w:rPr>
              <m:t>+М</m:t>
            </m:r>
          </m:e>
        </m:d>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фг</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зг</m:t>
                </m:r>
              </m:sub>
            </m:sSub>
            <m:r>
              <w:rPr>
                <w:rFonts w:ascii="Cambria Math" w:hAnsi="Cambria Math"/>
                <w:sz w:val="22"/>
                <w:szCs w:val="22"/>
              </w:rPr>
              <m:t>+Т*</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зг</m:t>
                </m:r>
              </m:sub>
            </m:sSub>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Ц</m:t>
            </m:r>
          </m:e>
          <m:sub>
            <m:r>
              <w:rPr>
                <w:rFonts w:ascii="Cambria Math" w:hAnsi="Cambria Math"/>
                <w:sz w:val="22"/>
                <w:szCs w:val="22"/>
              </w:rPr>
              <m:t>нб</m:t>
            </m:r>
          </m:sub>
          <m:sup>
            <m:r>
              <w:rPr>
                <w:rFonts w:ascii="Cambria Math" w:hAnsi="Cambria Math"/>
                <w:sz w:val="22"/>
                <w:szCs w:val="22"/>
              </w:rPr>
              <m:t>V&gt;0</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ф</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Т</m:t>
            </m:r>
          </m:e>
          <m:sub>
            <m:r>
              <w:rPr>
                <w:rFonts w:ascii="Cambria Math" w:hAnsi="Cambria Math"/>
                <w:sz w:val="22"/>
                <w:szCs w:val="22"/>
              </w:rPr>
              <m:t>осп</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ф</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Т</m:t>
            </m:r>
          </m:e>
          <m:sub>
            <m:r>
              <w:rPr>
                <w:rFonts w:ascii="Cambria Math" w:hAnsi="Cambria Math"/>
                <w:sz w:val="22"/>
                <w:szCs w:val="22"/>
              </w:rPr>
              <m:t>оср</m:t>
            </m:r>
          </m:sub>
        </m:sSub>
      </m:oMath>
      <w:r w:rsidR="001B1AC5" w:rsidRPr="001B1AC5">
        <w:rPr>
          <w:rFonts w:eastAsiaTheme="minorEastAsia"/>
          <w:sz w:val="22"/>
          <w:szCs w:val="22"/>
        </w:rPr>
        <w:t>,</w:t>
      </w:r>
    </w:p>
    <w:p w:rsidR="001B1AC5" w:rsidRPr="001B1AC5" w:rsidRDefault="00331F14" w:rsidP="001B1AC5">
      <w:pPr>
        <w:ind w:firstLine="709"/>
        <w:jc w:val="center"/>
        <w:rPr>
          <w:sz w:val="22"/>
          <w:szCs w:val="22"/>
        </w:rPr>
      </w:pPr>
      <m:oMath>
        <m:sSubSup>
          <m:sSubSupPr>
            <m:ctrlPr>
              <w:rPr>
                <w:rFonts w:ascii="Cambria Math" w:hAnsi="Cambria Math"/>
                <w:i/>
                <w:sz w:val="22"/>
                <w:szCs w:val="22"/>
              </w:rPr>
            </m:ctrlPr>
          </m:sSubSupPr>
          <m:e>
            <m:r>
              <w:rPr>
                <w:rFonts w:ascii="Cambria Math" w:hAnsi="Cambria Math"/>
                <w:sz w:val="22"/>
                <w:szCs w:val="22"/>
              </w:rPr>
              <m:t>Ц</m:t>
            </m:r>
          </m:e>
          <m:sub>
            <m:r>
              <w:rPr>
                <w:rFonts w:ascii="Cambria Math" w:hAnsi="Cambria Math"/>
                <w:sz w:val="22"/>
                <w:szCs w:val="22"/>
              </w:rPr>
              <m:t>нб</m:t>
            </m:r>
          </m:sub>
          <m:sup>
            <m:r>
              <w:rPr>
                <w:rFonts w:ascii="Cambria Math" w:hAnsi="Cambria Math"/>
                <w:sz w:val="22"/>
                <w:szCs w:val="22"/>
              </w:rPr>
              <m:t>V&gt;0</m:t>
            </m:r>
          </m:sup>
        </m:sSubSup>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rPr>
                      <m:t>рдн</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rPr>
                      <m:t>бр</m:t>
                    </m:r>
                  </m:sub>
                </m:sSub>
              </m:e>
            </m:d>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К</m:t>
                </m:r>
              </m:e>
              <m:sup>
                <m:r>
                  <w:rPr>
                    <w:rFonts w:ascii="Cambria Math" w:hAnsi="Cambria Math"/>
                    <w:sz w:val="22"/>
                    <w:szCs w:val="22"/>
                  </w:rPr>
                  <m:t>im</m:t>
                </m:r>
              </m:sup>
            </m:sSup>
            <m:r>
              <w:rPr>
                <w:rFonts w:ascii="Cambria Math" w:hAnsi="Cambria Math"/>
                <w:sz w:val="22"/>
                <w:szCs w:val="22"/>
              </w:rPr>
              <m:t>)</m:t>
            </m:r>
          </m:e>
        </m:func>
      </m:oMath>
      <w:r w:rsidR="001B1AC5" w:rsidRPr="001B1AC5">
        <w:rPr>
          <w:rFonts w:eastAsiaTheme="minorEastAsia"/>
          <w:sz w:val="22"/>
          <w:szCs w:val="22"/>
        </w:rPr>
        <w:t>, де</w:t>
      </w:r>
    </w:p>
    <w:p w:rsidR="001B1AC5" w:rsidRPr="001B1AC5" w:rsidRDefault="001B1AC5" w:rsidP="001B1AC5">
      <w:pPr>
        <w:ind w:firstLine="709"/>
        <w:jc w:val="both"/>
        <w:rPr>
          <w:sz w:val="22"/>
          <w:szCs w:val="22"/>
        </w:rPr>
      </w:pPr>
    </w:p>
    <w:p w:rsidR="001B1AC5" w:rsidRPr="001B1AC5" w:rsidRDefault="00331F14" w:rsidP="001B1AC5">
      <w:pPr>
        <w:ind w:firstLine="709"/>
        <w:jc w:val="both"/>
        <w:rPr>
          <w:sz w:val="22"/>
          <w:szCs w:val="22"/>
        </w:rPr>
      </w:pPr>
      <m:oMath>
        <m:sSub>
          <m:sSubPr>
            <m:ctrlPr>
              <w:rPr>
                <w:rFonts w:ascii="Cambria Math" w:hAnsi="Cambria Math"/>
                <w:sz w:val="22"/>
                <w:szCs w:val="22"/>
              </w:rPr>
            </m:ctrlPr>
          </m:sSubPr>
          <m:e>
            <m:r>
              <m:rPr>
                <m:sty m:val="p"/>
              </m:rPr>
              <w:rPr>
                <w:rFonts w:ascii="Cambria Math" w:hAnsi="Cambria Math"/>
                <w:sz w:val="22"/>
                <w:szCs w:val="22"/>
              </w:rPr>
              <m:t>В</m:t>
            </m:r>
          </m:e>
          <m:sub>
            <m:r>
              <m:rPr>
                <m:sty m:val="p"/>
              </m:rPr>
              <w:rPr>
                <w:rFonts w:ascii="Cambria Math" w:hAnsi="Cambria Math"/>
                <w:sz w:val="22"/>
                <w:szCs w:val="22"/>
              </w:rPr>
              <m:t>ф</m:t>
            </m:r>
          </m:sub>
        </m:sSub>
      </m:oMath>
      <w:r w:rsidR="001B1AC5" w:rsidRPr="001B1AC5">
        <w:rPr>
          <w:sz w:val="22"/>
          <w:szCs w:val="22"/>
        </w:rPr>
        <w:t xml:space="preserve"> – вартість фактичного місячного обсягу електричної енергії у розрахунковому місяці постачання, грн./</w:t>
      </w:r>
      <w:proofErr w:type="spellStart"/>
      <w:r w:rsidR="001B1AC5" w:rsidRPr="001B1AC5">
        <w:rPr>
          <w:sz w:val="22"/>
          <w:szCs w:val="22"/>
        </w:rPr>
        <w:t>МВт</w:t>
      </w:r>
      <w:proofErr w:type="spellEnd"/>
      <w:r w:rsidR="001B1AC5" w:rsidRPr="001B1AC5">
        <w:rPr>
          <w:sz w:val="22"/>
          <w:szCs w:val="22"/>
        </w:rPr>
        <w:t>-год.  без ПДВ;</w:t>
      </w:r>
    </w:p>
    <w:p w:rsidR="001B1AC5" w:rsidRPr="001B1AC5" w:rsidRDefault="00331F14" w:rsidP="001B1AC5">
      <w:pPr>
        <w:tabs>
          <w:tab w:val="left" w:pos="567"/>
        </w:tabs>
        <w:ind w:firstLine="709"/>
        <w:jc w:val="both"/>
        <w:rPr>
          <w:color w:val="000000"/>
          <w:sz w:val="22"/>
          <w:szCs w:val="22"/>
        </w:rPr>
      </w:pP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зг</m:t>
            </m:r>
          </m:sub>
        </m:sSub>
      </m:oMath>
      <w:r w:rsidR="001B1AC5" w:rsidRPr="001B1AC5">
        <w:rPr>
          <w:color w:val="000000"/>
          <w:sz w:val="22"/>
          <w:szCs w:val="22"/>
        </w:rPr>
        <w:t xml:space="preserve"> – заявлений обсяг постачання електричної енергії у відповідну годину відповідної доби розрахункового місяця, </w:t>
      </w:r>
      <w:proofErr w:type="spellStart"/>
      <w:r w:rsidR="001B1AC5" w:rsidRPr="001B1AC5">
        <w:rPr>
          <w:color w:val="000000"/>
          <w:sz w:val="22"/>
          <w:szCs w:val="22"/>
        </w:rPr>
        <w:t>МВт</w:t>
      </w:r>
      <w:proofErr w:type="spellEnd"/>
      <w:r w:rsidR="001B1AC5" w:rsidRPr="001B1AC5">
        <w:rPr>
          <w:color w:val="000000"/>
          <w:sz w:val="22"/>
          <w:szCs w:val="22"/>
        </w:rPr>
        <w:t xml:space="preserve">-год, визначений у Повідомленні </w:t>
      </w:r>
      <w:r w:rsidR="001B1AC5" w:rsidRPr="001B1AC5">
        <w:rPr>
          <w:sz w:val="22"/>
          <w:szCs w:val="22"/>
        </w:rPr>
        <w:t>з погодинним обсягом купівлі-продажу електричної енергії</w:t>
      </w:r>
      <w:r w:rsidR="001B1AC5" w:rsidRPr="001B1AC5">
        <w:rPr>
          <w:color w:val="000000"/>
          <w:sz w:val="22"/>
          <w:szCs w:val="22"/>
        </w:rPr>
        <w:t xml:space="preserve"> на розрахунковий місяць, що подається до 10-00 19 числа місяця, що передує розрахунковому, та відкоригований відповідно до пункту 3.3.1. Договору;</w:t>
      </w:r>
    </w:p>
    <w:p w:rsidR="001B1AC5" w:rsidRPr="001B1AC5" w:rsidRDefault="00331F14" w:rsidP="001B1AC5">
      <w:pPr>
        <w:tabs>
          <w:tab w:val="left" w:pos="1134"/>
        </w:tabs>
        <w:ind w:firstLine="709"/>
        <w:jc w:val="both"/>
        <w:rPr>
          <w:color w:val="000000"/>
          <w:sz w:val="22"/>
          <w:szCs w:val="22"/>
        </w:rPr>
      </w:pP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ф</m:t>
            </m:r>
          </m:sub>
        </m:sSub>
      </m:oMath>
      <w:r w:rsidR="001B1AC5" w:rsidRPr="001B1AC5">
        <w:rPr>
          <w:b/>
          <w:color w:val="000000"/>
          <w:sz w:val="22"/>
          <w:szCs w:val="22"/>
        </w:rPr>
        <w:t xml:space="preserve"> – </w:t>
      </w:r>
      <w:r w:rsidR="001B1AC5" w:rsidRPr="001B1AC5">
        <w:rPr>
          <w:color w:val="000000"/>
          <w:sz w:val="22"/>
          <w:szCs w:val="22"/>
        </w:rPr>
        <w:t xml:space="preserve">фактичний обсяг постачання електричної енергії місяця постачання, </w:t>
      </w:r>
      <w:proofErr w:type="spellStart"/>
      <w:r w:rsidR="001B1AC5" w:rsidRPr="001B1AC5">
        <w:rPr>
          <w:color w:val="000000"/>
          <w:sz w:val="22"/>
          <w:szCs w:val="22"/>
        </w:rPr>
        <w:t>МВт</w:t>
      </w:r>
      <w:proofErr w:type="spellEnd"/>
      <w:r w:rsidR="001B1AC5" w:rsidRPr="001B1AC5">
        <w:rPr>
          <w:color w:val="000000"/>
          <w:sz w:val="22"/>
          <w:szCs w:val="22"/>
        </w:rPr>
        <w:t>-год;</w:t>
      </w:r>
    </w:p>
    <w:p w:rsidR="001B1AC5" w:rsidRPr="001B1AC5" w:rsidRDefault="00331F14" w:rsidP="001B1AC5">
      <w:pPr>
        <w:tabs>
          <w:tab w:val="left" w:pos="1134"/>
        </w:tabs>
        <w:ind w:firstLine="709"/>
        <w:jc w:val="both"/>
        <w:rPr>
          <w:color w:val="000000"/>
          <w:sz w:val="22"/>
          <w:szCs w:val="22"/>
        </w:rPr>
      </w:pP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фг</m:t>
            </m:r>
          </m:sub>
        </m:sSub>
        <m:r>
          <w:rPr>
            <w:rFonts w:ascii="Cambria Math" w:hAnsi="Cambria Math"/>
            <w:sz w:val="22"/>
            <w:szCs w:val="22"/>
          </w:rPr>
          <m:t xml:space="preserve"> </m:t>
        </m:r>
      </m:oMath>
      <w:r w:rsidR="001B1AC5" w:rsidRPr="001B1AC5">
        <w:rPr>
          <w:b/>
          <w:color w:val="000000"/>
          <w:sz w:val="22"/>
          <w:szCs w:val="22"/>
        </w:rPr>
        <w:t xml:space="preserve">– </w:t>
      </w:r>
      <w:r w:rsidR="001B1AC5" w:rsidRPr="001B1AC5">
        <w:rPr>
          <w:color w:val="000000"/>
          <w:sz w:val="22"/>
          <w:szCs w:val="22"/>
        </w:rPr>
        <w:t xml:space="preserve">фактичний обсяг постачання електричної енергії у відповідну годину відповідної доби місяця постачання, </w:t>
      </w:r>
      <w:proofErr w:type="spellStart"/>
      <w:r w:rsidR="001B1AC5" w:rsidRPr="001B1AC5">
        <w:rPr>
          <w:color w:val="000000"/>
          <w:sz w:val="22"/>
          <w:szCs w:val="22"/>
        </w:rPr>
        <w:t>МВт</w:t>
      </w:r>
      <w:proofErr w:type="spellEnd"/>
      <w:r w:rsidR="001B1AC5" w:rsidRPr="001B1AC5">
        <w:rPr>
          <w:color w:val="000000"/>
          <w:sz w:val="22"/>
          <w:szCs w:val="22"/>
        </w:rPr>
        <w:t>-год;</w:t>
      </w:r>
    </w:p>
    <w:p w:rsidR="001B1AC5" w:rsidRPr="001B1AC5" w:rsidRDefault="001B1AC5" w:rsidP="001B1AC5">
      <w:pPr>
        <w:tabs>
          <w:tab w:val="left" w:pos="1134"/>
        </w:tabs>
        <w:ind w:firstLine="709"/>
        <w:jc w:val="both"/>
        <w:rPr>
          <w:color w:val="000000"/>
          <w:sz w:val="22"/>
          <w:szCs w:val="22"/>
        </w:rPr>
      </w:pPr>
      <m:oMath>
        <m:r>
          <w:rPr>
            <w:rFonts w:ascii="Cambria Math" w:hAnsi="Cambria Math"/>
            <w:sz w:val="22"/>
            <w:szCs w:val="22"/>
          </w:rPr>
          <m:t>V</m:t>
        </m:r>
      </m:oMath>
      <w:r w:rsidRPr="001B1AC5">
        <w:rPr>
          <w:b/>
          <w:color w:val="000000"/>
          <w:sz w:val="22"/>
          <w:szCs w:val="22"/>
        </w:rPr>
        <w:t xml:space="preserve"> – </w:t>
      </w:r>
      <w:r w:rsidRPr="001B1AC5">
        <w:rPr>
          <w:color w:val="000000"/>
          <w:sz w:val="22"/>
          <w:szCs w:val="22"/>
        </w:rPr>
        <w:t xml:space="preserve">небаланс електроенергії у відповідну годину відповідної доби (дефіцит або профіцит), </w:t>
      </w:r>
      <w:proofErr w:type="spellStart"/>
      <w:r w:rsidRPr="001B1AC5">
        <w:rPr>
          <w:color w:val="000000"/>
          <w:sz w:val="22"/>
          <w:szCs w:val="22"/>
        </w:rPr>
        <w:t>МВт</w:t>
      </w:r>
      <w:proofErr w:type="spellEnd"/>
      <w:r w:rsidRPr="001B1AC5">
        <w:rPr>
          <w:color w:val="000000"/>
          <w:sz w:val="22"/>
          <w:szCs w:val="22"/>
        </w:rPr>
        <w:t>-год.;</w:t>
      </w:r>
    </w:p>
    <w:p w:rsidR="001B1AC5" w:rsidRPr="001B1AC5" w:rsidRDefault="00331F14" w:rsidP="001B1AC5">
      <w:pPr>
        <w:tabs>
          <w:tab w:val="left" w:pos="1134"/>
        </w:tabs>
        <w:ind w:firstLine="709"/>
        <w:jc w:val="both"/>
        <w:rPr>
          <w:color w:val="000000"/>
          <w:sz w:val="22"/>
          <w:szCs w:val="22"/>
        </w:rPr>
      </w:pPr>
      <m:oMath>
        <m:sSub>
          <m:sSubPr>
            <m:ctrlPr>
              <w:rPr>
                <w:rFonts w:ascii="Cambria Math" w:hAnsi="Cambria Math"/>
                <w:i/>
                <w:sz w:val="22"/>
                <w:szCs w:val="22"/>
              </w:rPr>
            </m:ctrlPr>
          </m:sSubPr>
          <m:e>
            <m:r>
              <w:rPr>
                <w:rFonts w:ascii="Cambria Math" w:hAnsi="Cambria Math"/>
                <w:sz w:val="22"/>
                <w:szCs w:val="22"/>
              </w:rPr>
              <m:t>Т</m:t>
            </m:r>
          </m:e>
          <m:sub>
            <m:r>
              <w:rPr>
                <w:rFonts w:ascii="Cambria Math" w:hAnsi="Cambria Math"/>
                <w:sz w:val="22"/>
                <w:szCs w:val="22"/>
              </w:rPr>
              <m:t>осп</m:t>
            </m:r>
          </m:sub>
        </m:sSub>
      </m:oMath>
      <w:r w:rsidR="001B1AC5" w:rsidRPr="001B1AC5">
        <w:rPr>
          <w:b/>
          <w:color w:val="000000"/>
          <w:sz w:val="22"/>
          <w:szCs w:val="22"/>
        </w:rPr>
        <w:t xml:space="preserve"> –</w:t>
      </w:r>
      <w:r w:rsidR="001B1AC5" w:rsidRPr="001B1AC5">
        <w:rPr>
          <w:color w:val="000000"/>
          <w:sz w:val="22"/>
          <w:szCs w:val="22"/>
        </w:rPr>
        <w:t xml:space="preserve"> тариф на послуги з передачі електричної енергії, який встановлюється Регулятором відповідно до затвердженої ним методики та оприлюднюється ОСП на власному веб-сайті в мережі Інтернет у триденний термін після затвердження його Регулятором,</w:t>
      </w:r>
      <w:r w:rsidR="001B1AC5" w:rsidRPr="001B1AC5">
        <w:rPr>
          <w:sz w:val="22"/>
          <w:szCs w:val="22"/>
        </w:rPr>
        <w:t xml:space="preserve"> грн./</w:t>
      </w:r>
      <w:proofErr w:type="spellStart"/>
      <w:r w:rsidR="001B1AC5" w:rsidRPr="001B1AC5">
        <w:rPr>
          <w:sz w:val="22"/>
          <w:szCs w:val="22"/>
        </w:rPr>
        <w:t>МВт</w:t>
      </w:r>
      <w:proofErr w:type="spellEnd"/>
      <w:r w:rsidR="001B1AC5" w:rsidRPr="001B1AC5">
        <w:rPr>
          <w:sz w:val="22"/>
          <w:szCs w:val="22"/>
        </w:rPr>
        <w:t>-год.;</w:t>
      </w:r>
    </w:p>
    <w:p w:rsidR="001B1AC5" w:rsidRPr="001B1AC5" w:rsidRDefault="00331F14" w:rsidP="001B1AC5">
      <w:pPr>
        <w:tabs>
          <w:tab w:val="left" w:pos="1134"/>
        </w:tabs>
        <w:ind w:firstLine="709"/>
        <w:jc w:val="both"/>
        <w:rPr>
          <w:color w:val="000000"/>
          <w:sz w:val="22"/>
          <w:szCs w:val="22"/>
        </w:rPr>
      </w:pPr>
      <m:oMath>
        <m:sSub>
          <m:sSubPr>
            <m:ctrlPr>
              <w:rPr>
                <w:rFonts w:ascii="Cambria Math" w:hAnsi="Cambria Math"/>
                <w:i/>
                <w:sz w:val="22"/>
                <w:szCs w:val="22"/>
              </w:rPr>
            </m:ctrlPr>
          </m:sSubPr>
          <m:e>
            <m:r>
              <w:rPr>
                <w:rFonts w:ascii="Cambria Math" w:hAnsi="Cambria Math"/>
                <w:sz w:val="22"/>
                <w:szCs w:val="22"/>
              </w:rPr>
              <m:t>Т</m:t>
            </m:r>
          </m:e>
          <m:sub>
            <m:r>
              <w:rPr>
                <w:rFonts w:ascii="Cambria Math" w:hAnsi="Cambria Math"/>
                <w:sz w:val="22"/>
                <w:szCs w:val="22"/>
              </w:rPr>
              <m:t>оср</m:t>
            </m:r>
          </m:sub>
        </m:sSub>
      </m:oMath>
      <w:r w:rsidR="001B1AC5" w:rsidRPr="001B1AC5">
        <w:rPr>
          <w:b/>
          <w:color w:val="000000"/>
          <w:sz w:val="22"/>
          <w:szCs w:val="22"/>
        </w:rPr>
        <w:t xml:space="preserve"> –</w:t>
      </w:r>
      <w:r w:rsidR="001B1AC5" w:rsidRPr="001B1AC5">
        <w:rPr>
          <w:color w:val="000000"/>
          <w:sz w:val="22"/>
          <w:szCs w:val="22"/>
        </w:rPr>
        <w:t xml:space="preserve"> тариф на послуги з розподілу електричної енергії, який встановлюється Регулятором відповідно до затвердженої ним методики та оприлюднюється ОСР на власних веб-сайтах в мережі Інтернет у триденний термін після затвердження їх Регулятором,</w:t>
      </w:r>
      <w:r w:rsidR="001B1AC5" w:rsidRPr="001B1AC5">
        <w:rPr>
          <w:sz w:val="22"/>
          <w:szCs w:val="22"/>
        </w:rPr>
        <w:t xml:space="preserve"> грн./</w:t>
      </w:r>
      <w:proofErr w:type="spellStart"/>
      <w:r w:rsidR="001B1AC5" w:rsidRPr="001B1AC5">
        <w:rPr>
          <w:sz w:val="22"/>
          <w:szCs w:val="22"/>
        </w:rPr>
        <w:t>МВт</w:t>
      </w:r>
      <w:proofErr w:type="spellEnd"/>
      <w:r w:rsidR="001B1AC5" w:rsidRPr="001B1AC5">
        <w:rPr>
          <w:sz w:val="22"/>
          <w:szCs w:val="22"/>
        </w:rPr>
        <w:t>-год.;</w:t>
      </w:r>
    </w:p>
    <w:p w:rsidR="001B1AC5" w:rsidRPr="001B1AC5" w:rsidRDefault="00331F14" w:rsidP="001B1AC5">
      <w:pPr>
        <w:ind w:firstLine="709"/>
        <w:jc w:val="both"/>
        <w:rPr>
          <w:rFonts w:eastAsiaTheme="minorEastAsia"/>
          <w:sz w:val="22"/>
          <w:szCs w:val="22"/>
        </w:rPr>
      </w:pPr>
      <m:oMath>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rPr>
              <m:t>рдн</m:t>
            </m:r>
          </m:sub>
        </m:sSub>
      </m:oMath>
      <w:r w:rsidR="001B1AC5" w:rsidRPr="001B1AC5">
        <w:rPr>
          <w:rFonts w:eastAsiaTheme="minorEastAsia"/>
          <w:sz w:val="22"/>
          <w:szCs w:val="22"/>
        </w:rPr>
        <w:t xml:space="preserve"> – </w:t>
      </w:r>
      <w:r w:rsidR="001B1AC5" w:rsidRPr="001B1AC5">
        <w:rPr>
          <w:sz w:val="22"/>
          <w:szCs w:val="22"/>
        </w:rPr>
        <w:t xml:space="preserve">фактична ціна купівлі-продажу електричної енергії, яка склалася на ринку «на добу наперед» у відповідну годину постачання, </w:t>
      </w:r>
      <w:r w:rsidR="001B1AC5" w:rsidRPr="001B1AC5">
        <w:rPr>
          <w:color w:val="000000"/>
          <w:sz w:val="22"/>
          <w:szCs w:val="22"/>
        </w:rPr>
        <w:t>грн./</w:t>
      </w:r>
      <w:proofErr w:type="spellStart"/>
      <w:r w:rsidR="001B1AC5" w:rsidRPr="001B1AC5">
        <w:rPr>
          <w:color w:val="000000"/>
          <w:sz w:val="22"/>
          <w:szCs w:val="22"/>
        </w:rPr>
        <w:t>МВт</w:t>
      </w:r>
      <w:proofErr w:type="spellEnd"/>
      <w:r w:rsidR="001B1AC5" w:rsidRPr="001B1AC5">
        <w:rPr>
          <w:color w:val="000000"/>
          <w:sz w:val="22"/>
          <w:szCs w:val="22"/>
        </w:rPr>
        <w:t>-год.</w:t>
      </w:r>
      <w:r w:rsidR="001B1AC5" w:rsidRPr="001B1AC5">
        <w:rPr>
          <w:sz w:val="22"/>
          <w:szCs w:val="22"/>
        </w:rPr>
        <w:t xml:space="preserve"> Така ціна зазначається на сайті Оператора ринку: http://www.oree.com.ua/;</w:t>
      </w:r>
    </w:p>
    <w:p w:rsidR="001B1AC5" w:rsidRPr="001B1AC5" w:rsidRDefault="00331F14" w:rsidP="001B1AC5">
      <w:pPr>
        <w:ind w:firstLine="709"/>
        <w:jc w:val="both"/>
        <w:rPr>
          <w:rFonts w:eastAsiaTheme="minorEastAsia"/>
          <w:sz w:val="22"/>
          <w:szCs w:val="22"/>
        </w:rPr>
      </w:pPr>
      <m:oMath>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rPr>
              <m:t>бр</m:t>
            </m:r>
          </m:sub>
        </m:sSub>
      </m:oMath>
      <w:r w:rsidR="001B1AC5" w:rsidRPr="001B1AC5">
        <w:rPr>
          <w:rFonts w:eastAsiaTheme="minorEastAsia"/>
          <w:sz w:val="22"/>
          <w:szCs w:val="22"/>
        </w:rPr>
        <w:t xml:space="preserve"> – ціна небалансів, що склалася на балансуючому ринку у відповідну годину,</w:t>
      </w:r>
      <w:r w:rsidR="001B1AC5" w:rsidRPr="001B1AC5">
        <w:rPr>
          <w:sz w:val="22"/>
          <w:szCs w:val="22"/>
        </w:rPr>
        <w:t xml:space="preserve"> грн./</w:t>
      </w:r>
      <w:proofErr w:type="spellStart"/>
      <w:r w:rsidR="001B1AC5" w:rsidRPr="001B1AC5">
        <w:rPr>
          <w:sz w:val="22"/>
          <w:szCs w:val="22"/>
        </w:rPr>
        <w:t>МВт</w:t>
      </w:r>
      <w:proofErr w:type="spellEnd"/>
      <w:r w:rsidR="001B1AC5" w:rsidRPr="001B1AC5">
        <w:rPr>
          <w:sz w:val="22"/>
          <w:szCs w:val="22"/>
        </w:rPr>
        <w:t>-год.;</w:t>
      </w:r>
    </w:p>
    <w:p w:rsidR="001B1AC5" w:rsidRPr="001B1AC5" w:rsidRDefault="00331F14" w:rsidP="001B1AC5">
      <w:pPr>
        <w:ind w:firstLine="709"/>
        <w:jc w:val="both"/>
        <w:rPr>
          <w:rFonts w:eastAsiaTheme="minorEastAsia"/>
          <w:sz w:val="22"/>
          <w:szCs w:val="22"/>
        </w:rPr>
      </w:pPr>
      <m:oMath>
        <m:sSup>
          <m:sSupPr>
            <m:ctrlPr>
              <w:rPr>
                <w:rFonts w:ascii="Cambria Math" w:hAnsi="Cambria Math"/>
                <w:i/>
                <w:sz w:val="22"/>
                <w:szCs w:val="22"/>
              </w:rPr>
            </m:ctrlPr>
          </m:sSupPr>
          <m:e>
            <m:r>
              <w:rPr>
                <w:rFonts w:ascii="Cambria Math" w:hAnsi="Cambria Math"/>
                <w:sz w:val="22"/>
                <w:szCs w:val="22"/>
              </w:rPr>
              <m:t>К</m:t>
            </m:r>
          </m:e>
          <m:sup>
            <m:r>
              <w:rPr>
                <w:rFonts w:ascii="Cambria Math" w:hAnsi="Cambria Math"/>
                <w:sz w:val="22"/>
                <w:szCs w:val="22"/>
              </w:rPr>
              <m:t>im</m:t>
            </m:r>
          </m:sup>
        </m:sSup>
      </m:oMath>
      <w:r w:rsidR="001B1AC5" w:rsidRPr="001B1AC5">
        <w:rPr>
          <w:rFonts w:eastAsiaTheme="minorEastAsia"/>
          <w:sz w:val="22"/>
          <w:szCs w:val="22"/>
        </w:rPr>
        <w:t xml:space="preserve"> – коефіцієнт ціни небалансу відповідно до Правил ринку;</w:t>
      </w:r>
    </w:p>
    <w:p w:rsidR="001B1AC5" w:rsidRPr="001B1AC5" w:rsidRDefault="001B1AC5" w:rsidP="001B1AC5">
      <w:pPr>
        <w:ind w:firstLine="709"/>
        <w:jc w:val="both"/>
        <w:rPr>
          <w:sz w:val="22"/>
          <w:szCs w:val="22"/>
        </w:rPr>
      </w:pPr>
      <m:oMath>
        <m:r>
          <w:rPr>
            <w:rFonts w:ascii="Cambria Math" w:hAnsi="Cambria Math"/>
            <w:sz w:val="22"/>
            <w:szCs w:val="22"/>
          </w:rPr>
          <m:t>М</m:t>
        </m:r>
      </m:oMath>
      <w:r w:rsidRPr="001B1AC5">
        <w:rPr>
          <w:sz w:val="22"/>
          <w:szCs w:val="22"/>
        </w:rPr>
        <w:t xml:space="preserve"> – маржа Постачальника, що складає </w:t>
      </w:r>
      <w:r w:rsidR="00007E2C">
        <w:rPr>
          <w:sz w:val="22"/>
          <w:szCs w:val="22"/>
        </w:rPr>
        <w:t>(див. дод. 1)</w:t>
      </w:r>
      <w:r w:rsidRPr="001B1AC5">
        <w:rPr>
          <w:sz w:val="22"/>
          <w:szCs w:val="22"/>
        </w:rPr>
        <w:t xml:space="preserve"> % від </w:t>
      </w:r>
      <m:oMath>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rPr>
              <m:t>рдн</m:t>
            </m:r>
          </m:sub>
        </m:sSub>
      </m:oMath>
      <w:r w:rsidRPr="001B1AC5">
        <w:rPr>
          <w:sz w:val="22"/>
          <w:szCs w:val="22"/>
        </w:rPr>
        <w:t>, грн./МВт-год.</w:t>
      </w:r>
    </w:p>
    <w:p w:rsidR="001B1AC5" w:rsidRPr="001B1AC5" w:rsidRDefault="00B8711B" w:rsidP="001B1AC5">
      <w:pPr>
        <w:ind w:firstLine="709"/>
        <w:jc w:val="both"/>
        <w:rPr>
          <w:rFonts w:eastAsiaTheme="minorEastAsia"/>
          <w:sz w:val="22"/>
          <w:szCs w:val="22"/>
        </w:rPr>
      </w:pPr>
      <w:r>
        <w:rPr>
          <w:rFonts w:eastAsiaTheme="minorEastAsia"/>
          <w:sz w:val="22"/>
          <w:szCs w:val="22"/>
        </w:rPr>
        <w:t xml:space="preserve">Т – </w:t>
      </w:r>
      <w:proofErr w:type="spellStart"/>
      <w:r>
        <w:rPr>
          <w:rFonts w:eastAsiaTheme="minorEastAsia"/>
          <w:sz w:val="22"/>
          <w:szCs w:val="22"/>
        </w:rPr>
        <w:t>толеранс</w:t>
      </w:r>
      <w:proofErr w:type="spellEnd"/>
      <w:r w:rsidR="001B1AC5" w:rsidRPr="001B1AC5">
        <w:rPr>
          <w:rFonts w:eastAsiaTheme="minorEastAsia"/>
          <w:sz w:val="22"/>
          <w:szCs w:val="22"/>
        </w:rPr>
        <w:t>.</w:t>
      </w:r>
    </w:p>
    <w:p w:rsidR="001B1AC5" w:rsidRDefault="001B1AC5" w:rsidP="0059677F">
      <w:pPr>
        <w:tabs>
          <w:tab w:val="left" w:pos="1276"/>
        </w:tabs>
        <w:jc w:val="both"/>
        <w:rPr>
          <w:color w:val="000000"/>
          <w:sz w:val="22"/>
          <w:szCs w:val="22"/>
        </w:rPr>
      </w:pPr>
    </w:p>
    <w:p w:rsidR="00966A3D" w:rsidRPr="001B1AC5" w:rsidRDefault="0059677F" w:rsidP="0059677F">
      <w:pPr>
        <w:tabs>
          <w:tab w:val="left" w:pos="1276"/>
        </w:tabs>
        <w:jc w:val="both"/>
        <w:rPr>
          <w:sz w:val="22"/>
          <w:szCs w:val="22"/>
        </w:rPr>
      </w:pPr>
      <w:r w:rsidRPr="001B1AC5">
        <w:rPr>
          <w:color w:val="000000"/>
          <w:sz w:val="22"/>
          <w:szCs w:val="22"/>
        </w:rPr>
        <w:t>1.2.</w:t>
      </w:r>
      <w:r w:rsidRPr="001B1AC5">
        <w:rPr>
          <w:b/>
          <w:color w:val="000000"/>
          <w:sz w:val="22"/>
          <w:szCs w:val="22"/>
        </w:rPr>
        <w:t xml:space="preserve"> </w:t>
      </w:r>
      <w:r w:rsidRPr="001B1AC5">
        <w:rPr>
          <w:color w:val="000000"/>
          <w:sz w:val="22"/>
          <w:szCs w:val="22"/>
        </w:rPr>
        <w:t>Д</w:t>
      </w:r>
      <w:r w:rsidRPr="001B1AC5">
        <w:rPr>
          <w:sz w:val="22"/>
          <w:szCs w:val="22"/>
        </w:rPr>
        <w:t>ля площадок вимірювання Споживача, віднесених у встановленому нормативними документами порядку, що підтверджується оператором системи, до групи «б», прилади обліку яких не є інтервальними, вартість електроенергії, що поставляється, становить</w:t>
      </w:r>
      <w:r w:rsidR="00966A3D" w:rsidRPr="001B1AC5">
        <w:rPr>
          <w:sz w:val="22"/>
          <w:szCs w:val="22"/>
        </w:rPr>
        <w:t>:</w:t>
      </w:r>
    </w:p>
    <w:p w:rsidR="0059677F" w:rsidRDefault="00966A3D" w:rsidP="005F75D6">
      <w:pPr>
        <w:tabs>
          <w:tab w:val="left" w:pos="1276"/>
        </w:tabs>
        <w:jc w:val="center"/>
        <w:rPr>
          <w:color w:val="000000"/>
          <w:sz w:val="22"/>
          <w:szCs w:val="22"/>
        </w:rPr>
      </w:pPr>
      <m:oMath>
        <m:r>
          <w:rPr>
            <w:rFonts w:ascii="Cambria Math" w:hAnsi="Cambria Math"/>
            <w:color w:val="000000"/>
            <w:sz w:val="22"/>
            <w:szCs w:val="22"/>
          </w:rPr>
          <m:t>Vф</m:t>
        </m:r>
      </m:oMath>
      <w:r w:rsidRPr="001B1AC5">
        <w:rPr>
          <w:color w:val="000000"/>
          <w:sz w:val="22"/>
          <w:szCs w:val="22"/>
        </w:rPr>
        <w:t xml:space="preserve"> </w:t>
      </w:r>
      <m:oMath>
        <m:r>
          <w:rPr>
            <w:rFonts w:ascii="Cambria Math" w:hAnsi="Cambria Math"/>
            <w:color w:val="000000"/>
            <w:sz w:val="22"/>
            <w:szCs w:val="22"/>
          </w:rPr>
          <m:t>*</m:t>
        </m:r>
      </m:oMath>
      <w:r w:rsidRPr="001B1AC5">
        <w:rPr>
          <w:sz w:val="22"/>
          <w:szCs w:val="22"/>
          <w:lang w:val="ru-RU"/>
        </w:rPr>
        <w:t xml:space="preserve"> </w:t>
      </w:r>
      <w:r w:rsidR="00331F14">
        <w:rPr>
          <w:sz w:val="22"/>
          <w:szCs w:val="22"/>
          <w:lang w:val="ru-RU"/>
        </w:rPr>
        <w:t>3900</w:t>
      </w:r>
      <w:r w:rsidRPr="001B1AC5">
        <w:rPr>
          <w:sz w:val="22"/>
          <w:szCs w:val="22"/>
        </w:rPr>
        <w:t xml:space="preserve"> грн. /</w:t>
      </w:r>
      <w:proofErr w:type="spellStart"/>
      <w:r w:rsidRPr="001B1AC5">
        <w:rPr>
          <w:sz w:val="22"/>
          <w:szCs w:val="22"/>
        </w:rPr>
        <w:t>МВт</w:t>
      </w:r>
      <w:proofErr w:type="spellEnd"/>
      <w:r w:rsidRPr="001B1AC5">
        <w:rPr>
          <w:color w:val="000000"/>
          <w:sz w:val="22"/>
          <w:szCs w:val="22"/>
        </w:rPr>
        <w:t>-год</w:t>
      </w:r>
      <w:r w:rsidR="00B55C40">
        <w:rPr>
          <w:color w:val="000000"/>
          <w:sz w:val="22"/>
          <w:szCs w:val="22"/>
        </w:rPr>
        <w:t>***</w:t>
      </w:r>
      <w:r w:rsidRPr="001B1AC5">
        <w:rPr>
          <w:color w:val="000000"/>
          <w:sz w:val="22"/>
          <w:szCs w:val="22"/>
        </w:rPr>
        <w:t xml:space="preserve">  без ПДВ</w:t>
      </w:r>
      <w:r w:rsidR="0059677F" w:rsidRPr="001B1AC5">
        <w:rPr>
          <w:color w:val="000000"/>
          <w:sz w:val="22"/>
          <w:szCs w:val="22"/>
        </w:rPr>
        <w:t xml:space="preserve"> + </w:t>
      </w:r>
      <m:oMath>
        <m:r>
          <w:rPr>
            <w:rFonts w:ascii="Cambria Math" w:hAnsi="Cambria Math"/>
            <w:color w:val="000000"/>
            <w:sz w:val="22"/>
            <w:szCs w:val="22"/>
          </w:rPr>
          <m:t>Vф*Тосп+Vф*Тоср</m:t>
        </m:r>
      </m:oMath>
      <w:r w:rsidR="0059677F" w:rsidRPr="001B1AC5">
        <w:rPr>
          <w:color w:val="000000"/>
          <w:sz w:val="22"/>
          <w:szCs w:val="22"/>
        </w:rPr>
        <w:t>.</w:t>
      </w:r>
    </w:p>
    <w:p w:rsidR="00B55C40" w:rsidRPr="00B55C40" w:rsidRDefault="00B55C40" w:rsidP="00B55C40">
      <w:pPr>
        <w:tabs>
          <w:tab w:val="left" w:pos="1276"/>
        </w:tabs>
        <w:jc w:val="both"/>
        <w:rPr>
          <w:sz w:val="22"/>
          <w:szCs w:val="22"/>
        </w:rPr>
      </w:pPr>
      <w:r>
        <w:rPr>
          <w:color w:val="000000"/>
          <w:sz w:val="22"/>
          <w:szCs w:val="22"/>
        </w:rPr>
        <w:t xml:space="preserve">Складовими ціни є </w:t>
      </w:r>
      <w:r w:rsidRPr="001B1AC5">
        <w:rPr>
          <w:sz w:val="22"/>
          <w:szCs w:val="22"/>
        </w:rPr>
        <w:t xml:space="preserve">фактична ціна купівлі-продажу електричної енергії, яка склалася на ринку «на добу наперед» у відповідну годину постачання, </w:t>
      </w:r>
      <w:r w:rsidRPr="001B1AC5">
        <w:rPr>
          <w:color w:val="000000"/>
          <w:sz w:val="22"/>
          <w:szCs w:val="22"/>
        </w:rPr>
        <w:t>грн./</w:t>
      </w:r>
      <w:proofErr w:type="spellStart"/>
      <w:r w:rsidRPr="001B1AC5">
        <w:rPr>
          <w:color w:val="000000"/>
          <w:sz w:val="22"/>
          <w:szCs w:val="22"/>
        </w:rPr>
        <w:t>МВт</w:t>
      </w:r>
      <w:proofErr w:type="spellEnd"/>
      <w:r w:rsidRPr="001B1AC5">
        <w:rPr>
          <w:color w:val="000000"/>
          <w:sz w:val="22"/>
          <w:szCs w:val="22"/>
        </w:rPr>
        <w:t>-год</w:t>
      </w:r>
      <w:r>
        <w:rPr>
          <w:color w:val="000000"/>
          <w:sz w:val="22"/>
          <w:szCs w:val="22"/>
        </w:rPr>
        <w:t xml:space="preserve"> т</w:t>
      </w:r>
      <w:r>
        <w:rPr>
          <w:sz w:val="22"/>
          <w:szCs w:val="22"/>
        </w:rPr>
        <w:t>а маржі постачальника (яка складається із витрат на організацію постачання та покриття небалансів)</w:t>
      </w:r>
    </w:p>
    <w:p w:rsidR="009F514F" w:rsidRPr="001B1AC5" w:rsidRDefault="009F514F" w:rsidP="009F514F">
      <w:pPr>
        <w:spacing w:before="120" w:after="120"/>
        <w:jc w:val="center"/>
        <w:rPr>
          <w:rFonts w:eastAsia="Calibri"/>
          <w:b/>
          <w:color w:val="000000"/>
          <w:sz w:val="22"/>
          <w:szCs w:val="22"/>
        </w:rPr>
      </w:pPr>
      <w:r w:rsidRPr="001B1AC5">
        <w:rPr>
          <w:rFonts w:eastAsia="Calibri"/>
          <w:b/>
          <w:color w:val="000000"/>
          <w:sz w:val="22"/>
          <w:szCs w:val="22"/>
        </w:rPr>
        <w:t>Оплата послуг з розподілу (передачі) здійснюється</w:t>
      </w:r>
      <w:r w:rsidR="007B76FA" w:rsidRPr="001B1AC5">
        <w:rPr>
          <w:rFonts w:eastAsia="Calibri"/>
          <w:b/>
          <w:color w:val="000000"/>
          <w:sz w:val="22"/>
          <w:szCs w:val="22"/>
        </w:rPr>
        <w:t>.</w:t>
      </w:r>
      <w:r w:rsidRPr="001B1AC5">
        <w:rPr>
          <w:rFonts w:eastAsia="Calibri"/>
          <w:b/>
          <w:color w:val="000000"/>
          <w:sz w:val="22"/>
          <w:szCs w:val="22"/>
        </w:rPr>
        <w:t xml:space="preserve"> наступним чином: </w:t>
      </w:r>
    </w:p>
    <w:p w:rsidR="009F514F" w:rsidRPr="001B1AC5" w:rsidRDefault="009F514F" w:rsidP="009F514F">
      <w:pPr>
        <w:autoSpaceDE w:val="0"/>
        <w:autoSpaceDN w:val="0"/>
        <w:jc w:val="both"/>
        <w:rPr>
          <w:rFonts w:eastAsia="Calibri"/>
          <w:b/>
          <w:color w:val="000000"/>
          <w:sz w:val="22"/>
          <w:szCs w:val="22"/>
        </w:rPr>
      </w:pPr>
      <w:r w:rsidRPr="001B1AC5">
        <w:rPr>
          <w:rFonts w:eastAsia="Calibri"/>
          <w:color w:val="000000"/>
          <w:sz w:val="22"/>
          <w:szCs w:val="22"/>
        </w:rPr>
        <w:t xml:space="preserve">Споживач здійснює плату за послугу з розподілу </w:t>
      </w:r>
      <w:r w:rsidR="00E51640" w:rsidRPr="001B1AC5">
        <w:rPr>
          <w:rFonts w:eastAsia="Calibri"/>
          <w:color w:val="000000"/>
          <w:sz w:val="22"/>
          <w:szCs w:val="22"/>
        </w:rPr>
        <w:t xml:space="preserve"> та передачі</w:t>
      </w:r>
      <w:r w:rsidRPr="001B1AC5">
        <w:rPr>
          <w:rFonts w:eastAsia="Calibri"/>
          <w:color w:val="000000"/>
          <w:sz w:val="22"/>
          <w:szCs w:val="22"/>
        </w:rPr>
        <w:t xml:space="preserve"> електричної енергії </w:t>
      </w:r>
      <w:r w:rsidR="00116483" w:rsidRPr="001B1AC5">
        <w:rPr>
          <w:rFonts w:eastAsia="Calibri"/>
          <w:color w:val="000000"/>
          <w:sz w:val="22"/>
          <w:szCs w:val="22"/>
        </w:rPr>
        <w:t>Постачальнику</w:t>
      </w:r>
      <w:r w:rsidR="000E7542" w:rsidRPr="001B1AC5">
        <w:rPr>
          <w:rFonts w:eastAsia="Calibri"/>
          <w:color w:val="000000"/>
          <w:sz w:val="22"/>
          <w:szCs w:val="22"/>
        </w:rPr>
        <w:t>, що входить до вартості відповідно до цього Додатку.</w:t>
      </w:r>
    </w:p>
    <w:p w:rsidR="009F514F" w:rsidRPr="001B1AC5" w:rsidRDefault="009F514F" w:rsidP="009F514F">
      <w:pPr>
        <w:tabs>
          <w:tab w:val="left" w:pos="284"/>
        </w:tabs>
        <w:autoSpaceDE w:val="0"/>
        <w:autoSpaceDN w:val="0"/>
        <w:adjustRightInd w:val="0"/>
        <w:rPr>
          <w:rFonts w:eastAsia="Calibri"/>
          <w:b/>
          <w:color w:val="000000"/>
          <w:sz w:val="22"/>
          <w:szCs w:val="22"/>
        </w:rPr>
      </w:pPr>
    </w:p>
    <w:p w:rsidR="009F514F" w:rsidRPr="001B1AC5" w:rsidRDefault="009F514F" w:rsidP="009F514F">
      <w:pPr>
        <w:numPr>
          <w:ilvl w:val="0"/>
          <w:numId w:val="1"/>
        </w:numPr>
        <w:tabs>
          <w:tab w:val="left" w:pos="284"/>
        </w:tabs>
        <w:autoSpaceDE w:val="0"/>
        <w:autoSpaceDN w:val="0"/>
        <w:adjustRightInd w:val="0"/>
        <w:ind w:left="928"/>
        <w:jc w:val="both"/>
        <w:rPr>
          <w:rFonts w:eastAsia="Calibri"/>
          <w:b/>
          <w:color w:val="000000"/>
          <w:sz w:val="22"/>
          <w:szCs w:val="22"/>
        </w:rPr>
      </w:pPr>
      <w:r w:rsidRPr="001B1AC5">
        <w:rPr>
          <w:rFonts w:eastAsia="Calibri"/>
          <w:b/>
          <w:color w:val="000000"/>
          <w:sz w:val="22"/>
          <w:szCs w:val="22"/>
        </w:rPr>
        <w:t>Строки оплати</w:t>
      </w:r>
    </w:p>
    <w:p w:rsidR="009F514F" w:rsidRPr="001B1AC5" w:rsidRDefault="009F514F" w:rsidP="00594577">
      <w:pPr>
        <w:jc w:val="both"/>
        <w:rPr>
          <w:sz w:val="22"/>
          <w:szCs w:val="22"/>
        </w:rPr>
      </w:pPr>
      <w:r w:rsidRPr="001B1AC5">
        <w:rPr>
          <w:sz w:val="22"/>
          <w:szCs w:val="22"/>
        </w:rPr>
        <w:t xml:space="preserve">Оплата за цим Договором має бути здійснена Споживачем </w:t>
      </w:r>
      <w:r w:rsidR="00594577">
        <w:rPr>
          <w:sz w:val="22"/>
          <w:szCs w:val="22"/>
        </w:rPr>
        <w:t>згідно вибраного графіку (див. дод. 1).</w:t>
      </w:r>
    </w:p>
    <w:p w:rsidR="001B1AC5" w:rsidRPr="001B1AC5" w:rsidRDefault="001B1AC5" w:rsidP="001B1AC5">
      <w:pPr>
        <w:pStyle w:val="a6"/>
        <w:adjustRightInd w:val="0"/>
        <w:ind w:left="0" w:firstLine="426"/>
        <w:jc w:val="both"/>
        <w:rPr>
          <w:rFonts w:ascii="Times New Roman" w:hAnsi="Times New Roman"/>
          <w:color w:val="000000"/>
          <w:sz w:val="22"/>
          <w:szCs w:val="22"/>
          <w:lang w:val="uk-UA" w:eastAsia="uk-UA"/>
        </w:rPr>
      </w:pPr>
      <w:r w:rsidRPr="001B1AC5">
        <w:rPr>
          <w:rFonts w:ascii="Times New Roman" w:hAnsi="Times New Roman"/>
          <w:color w:val="000000"/>
          <w:sz w:val="22"/>
          <w:szCs w:val="22"/>
          <w:lang w:val="uk-UA" w:eastAsia="uk-UA"/>
        </w:rPr>
        <w:t>Постачальник здійснює розрахунок необхідного рівня оплати вартості електричної енергії та не пізніше 25 числа місяця, що передує розрахунковому, надає рахунок на повну вартість замовленого обсягу електричної енергії, при цьому застосовується за середньозваженою ціною, розрахованою, виходячи з заявленого погодинного обсягу споживання та середніх цін РДН для кожної години за період з 01 по 20 число місяця, що передує місяцю постачання.</w:t>
      </w:r>
    </w:p>
    <w:p w:rsidR="001B1AC5" w:rsidRPr="001B1AC5" w:rsidRDefault="001B1AC5" w:rsidP="001B1AC5">
      <w:pPr>
        <w:pStyle w:val="a6"/>
        <w:adjustRightInd w:val="0"/>
        <w:ind w:left="0" w:firstLine="426"/>
        <w:jc w:val="both"/>
        <w:rPr>
          <w:rFonts w:ascii="Times New Roman" w:hAnsi="Times New Roman"/>
          <w:color w:val="000000"/>
          <w:sz w:val="22"/>
          <w:szCs w:val="22"/>
          <w:lang w:val="uk-UA" w:eastAsia="uk-UA"/>
        </w:rPr>
      </w:pPr>
      <w:r w:rsidRPr="001B1AC5">
        <w:rPr>
          <w:rFonts w:ascii="Times New Roman" w:hAnsi="Times New Roman"/>
          <w:color w:val="000000"/>
          <w:sz w:val="22"/>
          <w:szCs w:val="22"/>
          <w:lang w:val="uk-UA" w:eastAsia="uk-UA"/>
        </w:rPr>
        <w:t>Остаточна оплата – до 20 числа місяця, наступного за місяцем постачання.</w:t>
      </w:r>
    </w:p>
    <w:p w:rsidR="009F514F" w:rsidRPr="00A03112" w:rsidRDefault="009F514F" w:rsidP="009F514F">
      <w:pPr>
        <w:tabs>
          <w:tab w:val="left" w:pos="284"/>
        </w:tabs>
        <w:autoSpaceDE w:val="0"/>
        <w:autoSpaceDN w:val="0"/>
        <w:adjustRightInd w:val="0"/>
        <w:jc w:val="both"/>
        <w:rPr>
          <w:rFonts w:eastAsia="Calibri"/>
          <w:b/>
          <w:color w:val="000000"/>
          <w:sz w:val="22"/>
          <w:szCs w:val="22"/>
        </w:rPr>
      </w:pPr>
    </w:p>
    <w:p w:rsidR="009F514F" w:rsidRPr="00A03112" w:rsidRDefault="009F514F" w:rsidP="009F514F">
      <w:pPr>
        <w:numPr>
          <w:ilvl w:val="0"/>
          <w:numId w:val="1"/>
        </w:numPr>
        <w:tabs>
          <w:tab w:val="left" w:pos="284"/>
        </w:tabs>
        <w:autoSpaceDE w:val="0"/>
        <w:autoSpaceDN w:val="0"/>
        <w:adjustRightInd w:val="0"/>
        <w:ind w:left="928"/>
        <w:jc w:val="both"/>
        <w:rPr>
          <w:rFonts w:eastAsia="Calibri"/>
          <w:b/>
          <w:color w:val="000000"/>
          <w:sz w:val="22"/>
          <w:szCs w:val="22"/>
        </w:rPr>
      </w:pPr>
      <w:r w:rsidRPr="00A03112">
        <w:rPr>
          <w:rFonts w:eastAsia="Calibri"/>
          <w:b/>
          <w:color w:val="000000"/>
          <w:sz w:val="22"/>
          <w:szCs w:val="22"/>
        </w:rPr>
        <w:t>Розмір компенсації Споживачу за недодержання Постачальником якості надання комерційних послуг:</w:t>
      </w:r>
    </w:p>
    <w:p w:rsidR="009F514F" w:rsidRPr="00A03112" w:rsidRDefault="009F514F" w:rsidP="009F514F">
      <w:pPr>
        <w:autoSpaceDE w:val="0"/>
        <w:autoSpaceDN w:val="0"/>
        <w:jc w:val="both"/>
        <w:rPr>
          <w:rFonts w:eastAsia="Calibri"/>
          <w:color w:val="000000"/>
          <w:sz w:val="22"/>
          <w:szCs w:val="22"/>
        </w:rPr>
      </w:pPr>
      <w:r w:rsidRPr="00A03112">
        <w:rPr>
          <w:rFonts w:eastAsia="Calibri"/>
          <w:color w:val="000000"/>
          <w:sz w:val="22"/>
          <w:szCs w:val="22"/>
        </w:rPr>
        <w:t xml:space="preserve">У </w:t>
      </w:r>
      <w:r w:rsidRPr="00A03112">
        <w:rPr>
          <w:color w:val="000000"/>
          <w:sz w:val="22"/>
          <w:szCs w:val="22"/>
        </w:rPr>
        <w:t>розмірі</w:t>
      </w:r>
      <w:r w:rsidRPr="00A03112">
        <w:rPr>
          <w:rFonts w:eastAsia="Calibri"/>
          <w:color w:val="000000"/>
          <w:sz w:val="22"/>
          <w:szCs w:val="22"/>
        </w:rPr>
        <w:t xml:space="preserve"> встановленому Національною комісією, що здійснює державне регулювання у сферах енергетики та комунальних послуг (Регулятором).</w:t>
      </w:r>
    </w:p>
    <w:p w:rsidR="009F514F" w:rsidRPr="00A03112" w:rsidRDefault="009F514F" w:rsidP="009F514F">
      <w:pPr>
        <w:tabs>
          <w:tab w:val="left" w:pos="284"/>
        </w:tabs>
        <w:autoSpaceDE w:val="0"/>
        <w:autoSpaceDN w:val="0"/>
        <w:adjustRightInd w:val="0"/>
        <w:rPr>
          <w:rFonts w:eastAsia="Calibri"/>
          <w:b/>
          <w:color w:val="000000"/>
          <w:sz w:val="22"/>
          <w:szCs w:val="22"/>
        </w:rPr>
      </w:pPr>
    </w:p>
    <w:p w:rsidR="009F514F" w:rsidRPr="00A03112" w:rsidRDefault="009F514F" w:rsidP="009F514F">
      <w:pPr>
        <w:numPr>
          <w:ilvl w:val="0"/>
          <w:numId w:val="1"/>
        </w:numPr>
        <w:tabs>
          <w:tab w:val="left" w:pos="284"/>
        </w:tabs>
        <w:autoSpaceDE w:val="0"/>
        <w:autoSpaceDN w:val="0"/>
        <w:adjustRightInd w:val="0"/>
        <w:ind w:left="928"/>
        <w:jc w:val="both"/>
        <w:rPr>
          <w:rFonts w:eastAsia="Calibri"/>
          <w:b/>
          <w:color w:val="000000"/>
          <w:sz w:val="22"/>
          <w:szCs w:val="22"/>
        </w:rPr>
      </w:pPr>
      <w:r w:rsidRPr="00A03112">
        <w:rPr>
          <w:rFonts w:eastAsia="Calibri"/>
          <w:b/>
          <w:color w:val="000000"/>
          <w:sz w:val="22"/>
          <w:szCs w:val="22"/>
        </w:rPr>
        <w:t xml:space="preserve">Розмір штрафу за дострокове розірвання Споживачем Договору у випадках, не передбачених умовами Договору: </w:t>
      </w:r>
    </w:p>
    <w:p w:rsidR="009F514F" w:rsidRPr="00A03112" w:rsidRDefault="009F514F" w:rsidP="009F514F">
      <w:pPr>
        <w:autoSpaceDE w:val="0"/>
        <w:autoSpaceDN w:val="0"/>
        <w:jc w:val="both"/>
        <w:rPr>
          <w:rFonts w:eastAsia="Calibri"/>
          <w:b/>
          <w:color w:val="000000"/>
          <w:sz w:val="22"/>
          <w:szCs w:val="22"/>
        </w:rPr>
      </w:pPr>
      <w:r w:rsidRPr="00A03112">
        <w:rPr>
          <w:rFonts w:eastAsia="Calibri"/>
          <w:color w:val="000000"/>
          <w:sz w:val="22"/>
          <w:szCs w:val="22"/>
        </w:rPr>
        <w:t>Постачальник має право нарахувати Споживачу штраф у розмірі 100% від вартості електричної енергії, яка була поставлена Споживачу протягом останнього повного календарного місяця, який передує місяцю з якого постачання електричної енергії припиняється внаслідок дострокового розірвання Договору.</w:t>
      </w:r>
    </w:p>
    <w:p w:rsidR="009F514F" w:rsidRPr="0002087D" w:rsidRDefault="009F514F" w:rsidP="007B76FA">
      <w:pPr>
        <w:pStyle w:val="a6"/>
        <w:widowControl w:val="0"/>
        <w:numPr>
          <w:ilvl w:val="0"/>
          <w:numId w:val="1"/>
        </w:numPr>
        <w:snapToGrid w:val="0"/>
        <w:ind w:left="928"/>
        <w:jc w:val="both"/>
        <w:rPr>
          <w:rFonts w:ascii="Times New Roman" w:eastAsia="Calibri" w:hAnsi="Times New Roman"/>
          <w:b/>
          <w:color w:val="000000"/>
          <w:sz w:val="22"/>
          <w:szCs w:val="22"/>
          <w:lang w:val="uk-UA"/>
        </w:rPr>
      </w:pPr>
      <w:r w:rsidRPr="00A03112">
        <w:rPr>
          <w:rFonts w:ascii="Times New Roman" w:eastAsia="Calibri" w:hAnsi="Times New Roman"/>
          <w:color w:val="000000"/>
          <w:sz w:val="22"/>
          <w:szCs w:val="22"/>
          <w:lang w:val="uk-UA"/>
        </w:rPr>
        <w:t xml:space="preserve">Термін  постачання </w:t>
      </w:r>
      <w:r w:rsidR="00453D0C">
        <w:rPr>
          <w:rFonts w:ascii="Times New Roman" w:eastAsia="Calibri" w:hAnsi="Times New Roman"/>
          <w:color w:val="000000"/>
          <w:sz w:val="22"/>
          <w:szCs w:val="22"/>
          <w:lang w:val="uk-UA"/>
        </w:rPr>
        <w:t xml:space="preserve">відповідно до наведених цін та складових - </w:t>
      </w:r>
      <w:r w:rsidRPr="00A03112">
        <w:rPr>
          <w:rFonts w:ascii="Times New Roman" w:eastAsia="Calibri" w:hAnsi="Times New Roman"/>
          <w:color w:val="000000"/>
          <w:sz w:val="22"/>
          <w:szCs w:val="22"/>
          <w:lang w:val="uk-UA"/>
        </w:rPr>
        <w:t xml:space="preserve"> з </w:t>
      </w:r>
      <w:r w:rsidR="007B76FA">
        <w:rPr>
          <w:rFonts w:ascii="Times New Roman" w:eastAsia="Calibri" w:hAnsi="Times New Roman"/>
          <w:color w:val="000000"/>
          <w:sz w:val="22"/>
          <w:szCs w:val="22"/>
          <w:lang w:val="uk-UA"/>
        </w:rPr>
        <w:t>01.</w:t>
      </w:r>
      <w:r w:rsidR="00865239">
        <w:rPr>
          <w:rFonts w:ascii="Times New Roman" w:eastAsia="Calibri" w:hAnsi="Times New Roman"/>
          <w:color w:val="000000"/>
          <w:sz w:val="22"/>
          <w:szCs w:val="22"/>
          <w:lang w:val="uk-UA"/>
        </w:rPr>
        <w:t>0</w:t>
      </w:r>
      <w:r w:rsidR="00453D0C">
        <w:rPr>
          <w:rFonts w:ascii="Times New Roman" w:eastAsia="Calibri" w:hAnsi="Times New Roman"/>
          <w:color w:val="000000"/>
          <w:sz w:val="22"/>
          <w:szCs w:val="22"/>
          <w:lang w:val="uk-UA"/>
        </w:rPr>
        <w:t>2</w:t>
      </w:r>
      <w:r w:rsidRPr="00A03112">
        <w:rPr>
          <w:rFonts w:ascii="Times New Roman" w:eastAsia="Calibri" w:hAnsi="Times New Roman"/>
          <w:sz w:val="22"/>
          <w:szCs w:val="22"/>
          <w:lang w:val="uk-UA"/>
        </w:rPr>
        <w:t>.20</w:t>
      </w:r>
      <w:r w:rsidR="00453D0C">
        <w:rPr>
          <w:rFonts w:ascii="Times New Roman" w:eastAsia="Calibri" w:hAnsi="Times New Roman"/>
          <w:sz w:val="22"/>
          <w:szCs w:val="22"/>
          <w:lang w:val="uk-UA"/>
        </w:rPr>
        <w:t>2</w:t>
      </w:r>
      <w:r w:rsidR="00331F14">
        <w:rPr>
          <w:rFonts w:ascii="Times New Roman" w:eastAsia="Calibri" w:hAnsi="Times New Roman"/>
          <w:sz w:val="22"/>
          <w:szCs w:val="22"/>
          <w:lang w:val="uk-UA"/>
        </w:rPr>
        <w:t>2</w:t>
      </w:r>
      <w:r w:rsidR="00865239">
        <w:rPr>
          <w:rFonts w:ascii="Times New Roman" w:eastAsia="Calibri" w:hAnsi="Times New Roman"/>
          <w:sz w:val="22"/>
          <w:szCs w:val="22"/>
          <w:lang w:val="uk-UA"/>
        </w:rPr>
        <w:t xml:space="preserve"> р</w:t>
      </w:r>
      <w:r w:rsidRPr="007B76FA">
        <w:rPr>
          <w:rFonts w:ascii="Times New Roman" w:eastAsia="Calibri" w:hAnsi="Times New Roman"/>
          <w:sz w:val="22"/>
          <w:szCs w:val="22"/>
          <w:lang w:val="uk-UA"/>
        </w:rPr>
        <w:t xml:space="preserve">. </w:t>
      </w:r>
      <w:r w:rsidR="00B55C40">
        <w:rPr>
          <w:rFonts w:ascii="Times New Roman" w:eastAsia="Calibri" w:hAnsi="Times New Roman"/>
          <w:sz w:val="22"/>
          <w:szCs w:val="22"/>
          <w:lang w:val="uk-UA"/>
        </w:rPr>
        <w:t xml:space="preserve">та діє до </w:t>
      </w:r>
      <w:r w:rsidR="00534309">
        <w:rPr>
          <w:rFonts w:ascii="Times New Roman" w:eastAsia="Calibri" w:hAnsi="Times New Roman"/>
          <w:sz w:val="22"/>
          <w:szCs w:val="22"/>
          <w:lang w:val="uk-UA"/>
        </w:rPr>
        <w:t>заміни іншою</w:t>
      </w:r>
      <w:r w:rsidR="00B55C40">
        <w:rPr>
          <w:rFonts w:ascii="Times New Roman" w:eastAsia="Calibri" w:hAnsi="Times New Roman"/>
          <w:sz w:val="22"/>
          <w:szCs w:val="22"/>
          <w:lang w:val="uk-UA"/>
        </w:rPr>
        <w:t xml:space="preserve">. </w:t>
      </w:r>
      <w:r w:rsidR="00121664">
        <w:rPr>
          <w:rFonts w:ascii="Times New Roman" w:eastAsia="Calibri" w:hAnsi="Times New Roman"/>
          <w:sz w:val="22"/>
          <w:szCs w:val="22"/>
          <w:lang w:val="uk-UA"/>
        </w:rPr>
        <w:t>Для постачання в інший період пропонуємо звернутись до персонального менеджера</w:t>
      </w:r>
      <w:r w:rsidR="00B55C40">
        <w:rPr>
          <w:rFonts w:ascii="Times New Roman" w:eastAsia="Calibri" w:hAnsi="Times New Roman"/>
          <w:sz w:val="22"/>
          <w:szCs w:val="22"/>
          <w:lang w:val="uk-UA"/>
        </w:rPr>
        <w:t xml:space="preserve"> або в контакт-центр.</w:t>
      </w:r>
      <w:r w:rsidR="00121664">
        <w:rPr>
          <w:rFonts w:ascii="Times New Roman" w:eastAsia="Calibri" w:hAnsi="Times New Roman"/>
          <w:sz w:val="22"/>
          <w:szCs w:val="22"/>
          <w:lang w:val="uk-UA"/>
        </w:rPr>
        <w:t xml:space="preserve">. </w:t>
      </w:r>
    </w:p>
    <w:p w:rsidR="0002087D" w:rsidRPr="007B76FA" w:rsidRDefault="0002087D" w:rsidP="0002087D">
      <w:pPr>
        <w:pStyle w:val="a6"/>
        <w:widowControl w:val="0"/>
        <w:numPr>
          <w:ilvl w:val="0"/>
          <w:numId w:val="1"/>
        </w:numPr>
        <w:snapToGrid w:val="0"/>
        <w:jc w:val="both"/>
        <w:rPr>
          <w:rFonts w:ascii="Times New Roman" w:eastAsia="Calibri" w:hAnsi="Times New Roman"/>
          <w:b/>
          <w:color w:val="000000"/>
          <w:sz w:val="22"/>
          <w:szCs w:val="22"/>
          <w:lang w:val="uk-UA"/>
        </w:rPr>
      </w:pPr>
      <w:r>
        <w:rPr>
          <w:rFonts w:ascii="Times New Roman" w:eastAsia="Calibri" w:hAnsi="Times New Roman"/>
          <w:sz w:val="22"/>
          <w:szCs w:val="22"/>
          <w:lang w:val="uk-UA"/>
        </w:rPr>
        <w:t xml:space="preserve">У разі погодження із наведеними умовами просимо звернутись до регіональних представництв, контакти за посиланням </w:t>
      </w:r>
      <w:r w:rsidRPr="0002087D">
        <w:rPr>
          <w:rFonts w:ascii="Times New Roman" w:eastAsia="Calibri" w:hAnsi="Times New Roman"/>
          <w:sz w:val="22"/>
          <w:szCs w:val="22"/>
          <w:lang w:val="uk-UA"/>
        </w:rPr>
        <w:t>https://etg.ua/contacts</w:t>
      </w:r>
      <w:r w:rsidR="000A5C1C">
        <w:rPr>
          <w:rFonts w:ascii="Times New Roman" w:eastAsia="Calibri" w:hAnsi="Times New Roman"/>
          <w:sz w:val="22"/>
          <w:szCs w:val="22"/>
          <w:lang w:val="uk-UA"/>
        </w:rPr>
        <w:t>.</w:t>
      </w:r>
    </w:p>
    <w:p w:rsidR="009F514F" w:rsidRPr="00A03112" w:rsidRDefault="009F514F" w:rsidP="009F514F">
      <w:pPr>
        <w:jc w:val="center"/>
        <w:rPr>
          <w:b/>
          <w:i/>
          <w:sz w:val="22"/>
          <w:szCs w:val="22"/>
          <w:u w:val="single"/>
        </w:rPr>
      </w:pPr>
    </w:p>
    <w:tbl>
      <w:tblPr>
        <w:tblW w:w="5773" w:type="pct"/>
        <w:tblInd w:w="-993" w:type="dxa"/>
        <w:tblLook w:val="04A0" w:firstRow="1" w:lastRow="0" w:firstColumn="1" w:lastColumn="0" w:noHBand="0" w:noVBand="1"/>
      </w:tblPr>
      <w:tblGrid>
        <w:gridCol w:w="279"/>
        <w:gridCol w:w="1840"/>
        <w:gridCol w:w="1566"/>
        <w:gridCol w:w="1277"/>
        <w:gridCol w:w="1253"/>
        <w:gridCol w:w="1691"/>
        <w:gridCol w:w="1166"/>
        <w:gridCol w:w="259"/>
        <w:gridCol w:w="1469"/>
      </w:tblGrid>
      <w:tr w:rsidR="009F514F" w:rsidRPr="00A03112" w:rsidTr="00502E78">
        <w:trPr>
          <w:gridAfter w:val="2"/>
          <w:wAfter w:w="800" w:type="pct"/>
        </w:trPr>
        <w:tc>
          <w:tcPr>
            <w:tcW w:w="2297" w:type="pct"/>
            <w:gridSpan w:val="4"/>
            <w:shd w:val="clear" w:color="auto" w:fill="auto"/>
          </w:tcPr>
          <w:p w:rsidR="00C472FE" w:rsidRDefault="00B55C40" w:rsidP="00502E78">
            <w:pPr>
              <w:widowControl w:val="0"/>
              <w:snapToGrid w:val="0"/>
              <w:rPr>
                <w:b/>
                <w:kern w:val="2"/>
                <w:sz w:val="22"/>
                <w:szCs w:val="22"/>
              </w:rPr>
            </w:pPr>
            <w:r>
              <w:rPr>
                <w:b/>
                <w:kern w:val="2"/>
                <w:sz w:val="22"/>
                <w:szCs w:val="22"/>
              </w:rPr>
              <w:t>***Наведен</w:t>
            </w:r>
            <w:r w:rsidR="00E274BB">
              <w:rPr>
                <w:b/>
                <w:kern w:val="2"/>
                <w:sz w:val="22"/>
                <w:szCs w:val="22"/>
              </w:rPr>
              <w:t>а</w:t>
            </w:r>
            <w:r>
              <w:rPr>
                <w:b/>
                <w:kern w:val="2"/>
                <w:sz w:val="22"/>
                <w:szCs w:val="22"/>
              </w:rPr>
              <w:t xml:space="preserve"> цін</w:t>
            </w:r>
            <w:r w:rsidR="00E274BB">
              <w:rPr>
                <w:b/>
                <w:kern w:val="2"/>
                <w:sz w:val="22"/>
                <w:szCs w:val="22"/>
              </w:rPr>
              <w:t>а</w:t>
            </w:r>
            <w:r>
              <w:rPr>
                <w:b/>
                <w:kern w:val="2"/>
                <w:sz w:val="22"/>
                <w:szCs w:val="22"/>
              </w:rPr>
              <w:t xml:space="preserve"> є орієнтовними. Для отримання більш повної та точної інформації пропонуємо звернутись до </w:t>
            </w:r>
            <w:r w:rsidR="00E274BB">
              <w:rPr>
                <w:b/>
                <w:kern w:val="2"/>
                <w:sz w:val="22"/>
                <w:szCs w:val="22"/>
              </w:rPr>
              <w:t xml:space="preserve">персонального </w:t>
            </w:r>
            <w:r>
              <w:rPr>
                <w:b/>
                <w:kern w:val="2"/>
                <w:sz w:val="22"/>
                <w:szCs w:val="22"/>
              </w:rPr>
              <w:t>менеджера або в контакт-центр</w:t>
            </w:r>
          </w:p>
          <w:p w:rsidR="0050091B" w:rsidRDefault="0050091B" w:rsidP="00502E78">
            <w:pPr>
              <w:widowControl w:val="0"/>
              <w:snapToGrid w:val="0"/>
              <w:rPr>
                <w:b/>
                <w:kern w:val="2"/>
                <w:sz w:val="22"/>
                <w:szCs w:val="22"/>
              </w:rPr>
            </w:pPr>
          </w:p>
          <w:p w:rsidR="0050091B" w:rsidRDefault="0050091B" w:rsidP="00502E78">
            <w:pPr>
              <w:widowControl w:val="0"/>
              <w:snapToGrid w:val="0"/>
              <w:rPr>
                <w:b/>
                <w:kern w:val="2"/>
                <w:sz w:val="22"/>
                <w:szCs w:val="22"/>
              </w:rPr>
            </w:pPr>
          </w:p>
          <w:p w:rsidR="00502E78" w:rsidRPr="00A03112" w:rsidRDefault="00502E78" w:rsidP="00502E78">
            <w:pPr>
              <w:widowControl w:val="0"/>
              <w:snapToGrid w:val="0"/>
              <w:rPr>
                <w:rFonts w:eastAsia="Calibri"/>
                <w:b/>
                <w:i/>
                <w:sz w:val="22"/>
                <w:szCs w:val="22"/>
              </w:rPr>
            </w:pPr>
            <w:r>
              <w:rPr>
                <w:b/>
                <w:kern w:val="2"/>
                <w:sz w:val="22"/>
                <w:szCs w:val="22"/>
              </w:rPr>
              <w:t>Додаток 1</w:t>
            </w:r>
          </w:p>
        </w:tc>
        <w:tc>
          <w:tcPr>
            <w:tcW w:w="1903" w:type="pct"/>
            <w:gridSpan w:val="3"/>
            <w:shd w:val="clear" w:color="auto" w:fill="auto"/>
          </w:tcPr>
          <w:p w:rsidR="009F514F" w:rsidRPr="00A03112" w:rsidRDefault="009F514F" w:rsidP="002227C9">
            <w:pPr>
              <w:widowControl w:val="0"/>
              <w:snapToGrid w:val="0"/>
              <w:rPr>
                <w:rFonts w:eastAsia="Calibri"/>
                <w:b/>
                <w:bCs/>
                <w:sz w:val="22"/>
                <w:szCs w:val="22"/>
              </w:rPr>
            </w:pPr>
          </w:p>
        </w:tc>
      </w:tr>
      <w:tr w:rsidR="00F92412" w:rsidRPr="006366FD" w:rsidTr="00502E78">
        <w:trPr>
          <w:trHeight w:val="699"/>
        </w:trPr>
        <w:tc>
          <w:tcPr>
            <w:tcW w:w="129" w:type="pct"/>
            <w:tcBorders>
              <w:top w:val="nil"/>
              <w:left w:val="nil"/>
              <w:bottom w:val="nil"/>
              <w:right w:val="nil"/>
            </w:tcBorders>
            <w:shd w:val="clear" w:color="auto" w:fill="auto"/>
            <w:noWrap/>
            <w:vAlign w:val="bottom"/>
            <w:hideMark/>
          </w:tcPr>
          <w:p w:rsidR="006366FD" w:rsidRPr="006366FD" w:rsidRDefault="006366FD" w:rsidP="006366FD">
            <w:pPr>
              <w:rPr>
                <w:sz w:val="20"/>
                <w:szCs w:val="20"/>
                <w:lang w:val="ru-RU" w:eastAsia="ru-RU"/>
              </w:rPr>
            </w:pPr>
          </w:p>
        </w:tc>
        <w:tc>
          <w:tcPr>
            <w:tcW w:w="85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92412" w:rsidRDefault="006366FD" w:rsidP="008F57E4">
            <w:pPr>
              <w:jc w:val="center"/>
              <w:rPr>
                <w:rFonts w:ascii="Calibri" w:hAnsi="Calibri"/>
                <w:b/>
                <w:bCs/>
                <w:color w:val="000000"/>
                <w:sz w:val="28"/>
                <w:szCs w:val="28"/>
                <w:lang w:val="ru-RU" w:eastAsia="ru-RU"/>
              </w:rPr>
            </w:pPr>
            <w:proofErr w:type="spellStart"/>
            <w:r w:rsidRPr="006366FD">
              <w:rPr>
                <w:rFonts w:ascii="Calibri" w:hAnsi="Calibri"/>
                <w:b/>
                <w:bCs/>
                <w:color w:val="000000"/>
                <w:sz w:val="28"/>
                <w:szCs w:val="28"/>
                <w:lang w:val="ru-RU" w:eastAsia="ru-RU"/>
              </w:rPr>
              <w:t>Група</w:t>
            </w:r>
            <w:proofErr w:type="spellEnd"/>
            <w:r w:rsidRPr="006366FD">
              <w:rPr>
                <w:rFonts w:ascii="Calibri" w:hAnsi="Calibri"/>
                <w:b/>
                <w:bCs/>
                <w:color w:val="000000"/>
                <w:sz w:val="28"/>
                <w:szCs w:val="28"/>
                <w:lang w:val="ru-RU" w:eastAsia="ru-RU"/>
              </w:rPr>
              <w:t xml:space="preserve"> </w:t>
            </w:r>
          </w:p>
          <w:p w:rsidR="006366FD" w:rsidRPr="006366FD" w:rsidRDefault="006366FD" w:rsidP="008F57E4">
            <w:pPr>
              <w:jc w:val="center"/>
              <w:rPr>
                <w:rFonts w:ascii="Calibri" w:hAnsi="Calibri"/>
                <w:b/>
                <w:bCs/>
                <w:color w:val="000000"/>
                <w:sz w:val="28"/>
                <w:szCs w:val="28"/>
                <w:lang w:val="ru-RU" w:eastAsia="ru-RU"/>
              </w:rPr>
            </w:pPr>
            <w:proofErr w:type="spellStart"/>
            <w:r w:rsidRPr="006366FD">
              <w:rPr>
                <w:rFonts w:ascii="Calibri" w:hAnsi="Calibri"/>
                <w:b/>
                <w:bCs/>
                <w:color w:val="000000"/>
                <w:sz w:val="28"/>
                <w:szCs w:val="28"/>
                <w:lang w:val="ru-RU" w:eastAsia="ru-RU"/>
              </w:rPr>
              <w:t>споживача</w:t>
            </w:r>
            <w:proofErr w:type="spellEnd"/>
          </w:p>
        </w:tc>
        <w:tc>
          <w:tcPr>
            <w:tcW w:w="4019" w:type="pct"/>
            <w:gridSpan w:val="7"/>
            <w:tcBorders>
              <w:top w:val="single" w:sz="8" w:space="0" w:color="auto"/>
              <w:left w:val="nil"/>
              <w:bottom w:val="nil"/>
              <w:right w:val="single" w:sz="8" w:space="0" w:color="000000"/>
            </w:tcBorders>
            <w:shd w:val="clear" w:color="auto" w:fill="auto"/>
            <w:vAlign w:val="center"/>
            <w:hideMark/>
          </w:tcPr>
          <w:p w:rsidR="006366FD" w:rsidRPr="006366FD" w:rsidRDefault="006366FD" w:rsidP="006366FD">
            <w:pPr>
              <w:ind w:left="-718"/>
              <w:jc w:val="center"/>
              <w:rPr>
                <w:rFonts w:ascii="Calibri" w:hAnsi="Calibri"/>
                <w:b/>
                <w:bCs/>
                <w:color w:val="000000"/>
                <w:sz w:val="28"/>
                <w:szCs w:val="28"/>
                <w:lang w:val="ru-RU" w:eastAsia="ru-RU"/>
              </w:rPr>
            </w:pPr>
            <w:proofErr w:type="spellStart"/>
            <w:r w:rsidRPr="006366FD">
              <w:rPr>
                <w:rFonts w:ascii="Calibri" w:hAnsi="Calibri"/>
                <w:b/>
                <w:bCs/>
                <w:color w:val="000000"/>
                <w:sz w:val="28"/>
                <w:szCs w:val="28"/>
                <w:lang w:val="ru-RU" w:eastAsia="ru-RU"/>
              </w:rPr>
              <w:t>Ціна</w:t>
            </w:r>
            <w:proofErr w:type="spellEnd"/>
          </w:p>
        </w:tc>
      </w:tr>
      <w:tr w:rsidR="00F92412" w:rsidRPr="006366FD" w:rsidTr="00502E78">
        <w:trPr>
          <w:trHeight w:val="300"/>
        </w:trPr>
        <w:tc>
          <w:tcPr>
            <w:tcW w:w="129" w:type="pct"/>
            <w:tcBorders>
              <w:top w:val="nil"/>
              <w:left w:val="nil"/>
              <w:bottom w:val="nil"/>
              <w:right w:val="nil"/>
            </w:tcBorders>
            <w:shd w:val="clear" w:color="auto" w:fill="auto"/>
            <w:noWrap/>
            <w:vAlign w:val="bottom"/>
            <w:hideMark/>
          </w:tcPr>
          <w:p w:rsidR="006366FD" w:rsidRPr="006366FD" w:rsidRDefault="006366FD" w:rsidP="006366FD">
            <w:pPr>
              <w:jc w:val="center"/>
              <w:rPr>
                <w:rFonts w:ascii="Calibri" w:hAnsi="Calibri"/>
                <w:b/>
                <w:bCs/>
                <w:color w:val="000000"/>
                <w:sz w:val="28"/>
                <w:szCs w:val="28"/>
                <w:lang w:val="ru-RU" w:eastAsia="ru-RU"/>
              </w:rPr>
            </w:pPr>
          </w:p>
        </w:tc>
        <w:tc>
          <w:tcPr>
            <w:tcW w:w="852" w:type="pct"/>
            <w:vMerge w:val="restart"/>
            <w:tcBorders>
              <w:top w:val="nil"/>
              <w:left w:val="single" w:sz="8" w:space="0" w:color="auto"/>
              <w:bottom w:val="single" w:sz="8" w:space="0" w:color="000000"/>
              <w:right w:val="single" w:sz="8" w:space="0" w:color="auto"/>
            </w:tcBorders>
            <w:shd w:val="clear" w:color="auto" w:fill="auto"/>
            <w:vAlign w:val="center"/>
            <w:hideMark/>
          </w:tcPr>
          <w:p w:rsidR="006366FD" w:rsidRPr="006366FD" w:rsidRDefault="006366FD" w:rsidP="00F92412">
            <w:pPr>
              <w:ind w:left="181" w:right="-514"/>
              <w:rPr>
                <w:rFonts w:ascii="Calibri" w:hAnsi="Calibri"/>
                <w:color w:val="000000"/>
                <w:sz w:val="22"/>
                <w:szCs w:val="22"/>
                <w:lang w:val="ru-RU" w:eastAsia="ru-RU"/>
              </w:rPr>
            </w:pPr>
            <w:proofErr w:type="spellStart"/>
            <w:r w:rsidRPr="006366FD">
              <w:rPr>
                <w:rFonts w:ascii="Calibri" w:hAnsi="Calibri"/>
                <w:color w:val="000000"/>
                <w:sz w:val="22"/>
                <w:szCs w:val="22"/>
                <w:lang w:val="ru-RU" w:eastAsia="ru-RU"/>
              </w:rPr>
              <w:t>Група</w:t>
            </w:r>
            <w:proofErr w:type="spellEnd"/>
            <w:r w:rsidRPr="006366FD">
              <w:rPr>
                <w:rFonts w:ascii="Calibri" w:hAnsi="Calibri"/>
                <w:color w:val="000000"/>
                <w:sz w:val="22"/>
                <w:szCs w:val="22"/>
                <w:lang w:val="ru-RU" w:eastAsia="ru-RU"/>
              </w:rPr>
              <w:t xml:space="preserve"> А</w:t>
            </w:r>
          </w:p>
        </w:tc>
        <w:tc>
          <w:tcPr>
            <w:tcW w:w="725" w:type="pct"/>
            <w:vMerge w:val="restart"/>
            <w:tcBorders>
              <w:top w:val="single" w:sz="8" w:space="0" w:color="auto"/>
              <w:left w:val="single" w:sz="8" w:space="0" w:color="auto"/>
              <w:bottom w:val="single" w:sz="8" w:space="0" w:color="000000"/>
              <w:right w:val="nil"/>
            </w:tcBorders>
            <w:shd w:val="clear" w:color="auto" w:fill="auto"/>
            <w:vAlign w:val="center"/>
            <w:hideMark/>
          </w:tcPr>
          <w:p w:rsidR="006366FD" w:rsidRPr="006366FD" w:rsidRDefault="006366FD" w:rsidP="00F92412">
            <w:pPr>
              <w:ind w:left="170"/>
              <w:rPr>
                <w:rFonts w:ascii="Calibri" w:hAnsi="Calibri"/>
                <w:color w:val="000000"/>
                <w:sz w:val="22"/>
                <w:szCs w:val="22"/>
                <w:lang w:val="ru-RU" w:eastAsia="ru-RU"/>
              </w:rPr>
            </w:pPr>
            <w:proofErr w:type="spellStart"/>
            <w:r w:rsidRPr="006366FD">
              <w:rPr>
                <w:rFonts w:ascii="Calibri" w:hAnsi="Calibri"/>
                <w:color w:val="000000"/>
                <w:sz w:val="22"/>
                <w:szCs w:val="22"/>
                <w:lang w:val="ru-RU" w:eastAsia="ru-RU"/>
              </w:rPr>
              <w:t>Фактичний</w:t>
            </w:r>
            <w:proofErr w:type="spellEnd"/>
            <w:r w:rsidRPr="006366FD">
              <w:rPr>
                <w:rFonts w:ascii="Calibri" w:hAnsi="Calibri"/>
                <w:color w:val="000000"/>
                <w:sz w:val="22"/>
                <w:szCs w:val="22"/>
                <w:lang w:val="ru-RU" w:eastAsia="ru-RU"/>
              </w:rPr>
              <w:t xml:space="preserve"> РДН +</w:t>
            </w:r>
          </w:p>
        </w:tc>
        <w:tc>
          <w:tcPr>
            <w:tcW w:w="1171"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66FD" w:rsidRPr="006366FD" w:rsidRDefault="006366FD" w:rsidP="006366FD">
            <w:pPr>
              <w:ind w:left="-718"/>
              <w:jc w:val="center"/>
              <w:rPr>
                <w:rFonts w:ascii="Calibri" w:hAnsi="Calibri"/>
                <w:color w:val="000000"/>
                <w:sz w:val="22"/>
                <w:szCs w:val="22"/>
                <w:lang w:val="ru-RU" w:eastAsia="ru-RU"/>
              </w:rPr>
            </w:pPr>
            <w:proofErr w:type="spellStart"/>
            <w:r w:rsidRPr="006366FD">
              <w:rPr>
                <w:rFonts w:ascii="Calibri" w:hAnsi="Calibri"/>
                <w:color w:val="000000"/>
                <w:sz w:val="22"/>
                <w:szCs w:val="22"/>
                <w:lang w:val="ru-RU" w:eastAsia="ru-RU"/>
              </w:rPr>
              <w:t>об'єм</w:t>
            </w:r>
            <w:proofErr w:type="spellEnd"/>
            <w:r w:rsidRPr="006366FD">
              <w:rPr>
                <w:rFonts w:ascii="Calibri" w:hAnsi="Calibri"/>
                <w:color w:val="000000"/>
                <w:sz w:val="22"/>
                <w:szCs w:val="22"/>
                <w:lang w:val="ru-RU" w:eastAsia="ru-RU"/>
              </w:rPr>
              <w:t xml:space="preserve"> ЕЕ</w:t>
            </w:r>
          </w:p>
        </w:tc>
        <w:tc>
          <w:tcPr>
            <w:tcW w:w="783" w:type="pct"/>
            <w:tcBorders>
              <w:top w:val="single" w:sz="8" w:space="0" w:color="auto"/>
              <w:left w:val="nil"/>
              <w:bottom w:val="nil"/>
              <w:right w:val="nil"/>
            </w:tcBorders>
            <w:shd w:val="clear" w:color="auto" w:fill="auto"/>
            <w:noWrap/>
            <w:vAlign w:val="bottom"/>
            <w:hideMark/>
          </w:tcPr>
          <w:p w:rsidR="006366FD" w:rsidRPr="006366FD" w:rsidRDefault="007B5608" w:rsidP="006366FD">
            <w:pPr>
              <w:jc w:val="center"/>
              <w:rPr>
                <w:rFonts w:ascii="Calibri" w:hAnsi="Calibri"/>
                <w:color w:val="000000"/>
                <w:sz w:val="22"/>
                <w:szCs w:val="22"/>
                <w:lang w:val="ru-RU" w:eastAsia="ru-RU"/>
              </w:rPr>
            </w:pPr>
            <w:r>
              <w:rPr>
                <w:rFonts w:ascii="Calibri" w:hAnsi="Calibri"/>
                <w:color w:val="000000"/>
                <w:sz w:val="22"/>
                <w:szCs w:val="22"/>
                <w:lang w:val="ru-RU" w:eastAsia="ru-RU"/>
              </w:rPr>
              <w:t>предоплата</w:t>
            </w:r>
          </w:p>
        </w:tc>
        <w:tc>
          <w:tcPr>
            <w:tcW w:w="660"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66FD" w:rsidRPr="006366FD" w:rsidRDefault="006366FD" w:rsidP="00F92412">
            <w:pPr>
              <w:ind w:left="-345"/>
              <w:jc w:val="center"/>
              <w:rPr>
                <w:rFonts w:ascii="Calibri" w:hAnsi="Calibri"/>
                <w:color w:val="000000"/>
                <w:sz w:val="22"/>
                <w:szCs w:val="22"/>
                <w:lang w:val="ru-RU" w:eastAsia="ru-RU"/>
              </w:rPr>
            </w:pPr>
            <w:proofErr w:type="spellStart"/>
            <w:r w:rsidRPr="006366FD">
              <w:rPr>
                <w:rFonts w:ascii="Calibri" w:hAnsi="Calibri"/>
                <w:color w:val="000000"/>
                <w:sz w:val="22"/>
                <w:szCs w:val="22"/>
                <w:lang w:val="ru-RU" w:eastAsia="ru-RU"/>
              </w:rPr>
              <w:t>подекадка</w:t>
            </w:r>
            <w:proofErr w:type="spellEnd"/>
          </w:p>
        </w:tc>
        <w:tc>
          <w:tcPr>
            <w:tcW w:w="680" w:type="pct"/>
            <w:tcBorders>
              <w:top w:val="single" w:sz="8" w:space="0" w:color="auto"/>
              <w:left w:val="nil"/>
              <w:bottom w:val="single" w:sz="8" w:space="0" w:color="auto"/>
              <w:right w:val="single" w:sz="8" w:space="0" w:color="auto"/>
            </w:tcBorders>
            <w:shd w:val="clear" w:color="auto" w:fill="auto"/>
            <w:noWrap/>
            <w:vAlign w:val="bottom"/>
            <w:hideMark/>
          </w:tcPr>
          <w:p w:rsidR="006366FD" w:rsidRPr="006366FD" w:rsidRDefault="006366FD" w:rsidP="00F92412">
            <w:pPr>
              <w:ind w:left="-498"/>
              <w:jc w:val="center"/>
              <w:rPr>
                <w:rFonts w:ascii="Calibri" w:hAnsi="Calibri"/>
                <w:color w:val="000000"/>
                <w:sz w:val="22"/>
                <w:szCs w:val="22"/>
                <w:lang w:val="ru-RU" w:eastAsia="ru-RU"/>
              </w:rPr>
            </w:pPr>
            <w:r w:rsidRPr="006366FD">
              <w:rPr>
                <w:rFonts w:ascii="Calibri" w:hAnsi="Calibri"/>
                <w:color w:val="000000"/>
                <w:sz w:val="22"/>
                <w:szCs w:val="22"/>
                <w:lang w:val="ru-RU" w:eastAsia="ru-RU"/>
              </w:rPr>
              <w:t>по факту</w:t>
            </w:r>
          </w:p>
        </w:tc>
      </w:tr>
      <w:tr w:rsidR="00A01E73" w:rsidRPr="006366FD" w:rsidTr="00502E78">
        <w:trPr>
          <w:trHeight w:val="300"/>
        </w:trPr>
        <w:tc>
          <w:tcPr>
            <w:tcW w:w="129" w:type="pct"/>
            <w:tcBorders>
              <w:top w:val="nil"/>
              <w:left w:val="nil"/>
              <w:bottom w:val="nil"/>
              <w:right w:val="nil"/>
            </w:tcBorders>
            <w:shd w:val="clear" w:color="auto" w:fill="auto"/>
            <w:noWrap/>
            <w:vAlign w:val="bottom"/>
            <w:hideMark/>
          </w:tcPr>
          <w:p w:rsidR="00A01E73" w:rsidRPr="006366FD" w:rsidRDefault="00A01E73" w:rsidP="00A01E73">
            <w:pPr>
              <w:jc w:val="center"/>
              <w:rPr>
                <w:rFonts w:ascii="Calibri" w:hAnsi="Calibri"/>
                <w:color w:val="000000"/>
                <w:sz w:val="22"/>
                <w:szCs w:val="22"/>
                <w:lang w:val="ru-RU" w:eastAsia="ru-RU"/>
              </w:rPr>
            </w:pPr>
          </w:p>
        </w:tc>
        <w:tc>
          <w:tcPr>
            <w:tcW w:w="852" w:type="pct"/>
            <w:vMerge/>
            <w:tcBorders>
              <w:top w:val="nil"/>
              <w:left w:val="single" w:sz="8" w:space="0" w:color="auto"/>
              <w:bottom w:val="single" w:sz="8" w:space="0" w:color="000000"/>
              <w:right w:val="single" w:sz="8" w:space="0" w:color="auto"/>
            </w:tcBorders>
            <w:vAlign w:val="center"/>
            <w:hideMark/>
          </w:tcPr>
          <w:p w:rsidR="00A01E73" w:rsidRPr="006366FD" w:rsidRDefault="00A01E73" w:rsidP="00A01E73">
            <w:pPr>
              <w:ind w:left="-718"/>
              <w:rPr>
                <w:rFonts w:ascii="Calibri" w:hAnsi="Calibri"/>
                <w:color w:val="000000"/>
                <w:sz w:val="22"/>
                <w:szCs w:val="22"/>
                <w:lang w:val="ru-RU" w:eastAsia="ru-RU"/>
              </w:rPr>
            </w:pPr>
          </w:p>
        </w:tc>
        <w:tc>
          <w:tcPr>
            <w:tcW w:w="725" w:type="pct"/>
            <w:vMerge/>
            <w:tcBorders>
              <w:top w:val="single" w:sz="8" w:space="0" w:color="auto"/>
              <w:left w:val="single" w:sz="8" w:space="0" w:color="auto"/>
              <w:bottom w:val="single" w:sz="8" w:space="0" w:color="000000"/>
              <w:right w:val="nil"/>
            </w:tcBorders>
            <w:vAlign w:val="center"/>
            <w:hideMark/>
          </w:tcPr>
          <w:p w:rsidR="00A01E73" w:rsidRPr="006366FD" w:rsidRDefault="00A01E73" w:rsidP="00A01E73">
            <w:pPr>
              <w:ind w:left="-718"/>
              <w:rPr>
                <w:rFonts w:ascii="Calibri" w:hAnsi="Calibri"/>
                <w:color w:val="000000"/>
                <w:sz w:val="22"/>
                <w:szCs w:val="22"/>
                <w:lang w:val="ru-RU" w:eastAsia="ru-RU"/>
              </w:rPr>
            </w:pPr>
          </w:p>
        </w:tc>
        <w:tc>
          <w:tcPr>
            <w:tcW w:w="1171" w:type="pct"/>
            <w:gridSpan w:val="2"/>
            <w:tcBorders>
              <w:top w:val="nil"/>
              <w:left w:val="single" w:sz="8" w:space="0" w:color="auto"/>
              <w:bottom w:val="nil"/>
              <w:right w:val="nil"/>
            </w:tcBorders>
            <w:shd w:val="clear" w:color="auto" w:fill="auto"/>
            <w:vAlign w:val="center"/>
            <w:hideMark/>
          </w:tcPr>
          <w:p w:rsidR="00A01E73" w:rsidRPr="006366FD" w:rsidRDefault="00A01E73" w:rsidP="00A01E73">
            <w:pPr>
              <w:ind w:left="35"/>
              <w:jc w:val="both"/>
              <w:rPr>
                <w:rFonts w:ascii="Calibri" w:hAnsi="Calibri"/>
                <w:color w:val="000000"/>
                <w:sz w:val="22"/>
                <w:szCs w:val="22"/>
                <w:lang w:val="ru-RU" w:eastAsia="ru-RU"/>
              </w:rPr>
            </w:pPr>
            <w:r w:rsidRPr="006366FD">
              <w:rPr>
                <w:rFonts w:ascii="Calibri" w:hAnsi="Calibri"/>
                <w:color w:val="000000"/>
                <w:sz w:val="22"/>
                <w:szCs w:val="22"/>
                <w:lang w:val="ru-RU" w:eastAsia="ru-RU"/>
              </w:rPr>
              <w:t>0/ч ‹ 150 Квт/ч</w:t>
            </w:r>
          </w:p>
        </w:tc>
        <w:tc>
          <w:tcPr>
            <w:tcW w:w="7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01E73" w:rsidRDefault="00A01E73" w:rsidP="00A01E73">
            <w:pPr>
              <w:jc w:val="center"/>
              <w:rPr>
                <w:rFonts w:ascii="Calibri" w:hAnsi="Calibri"/>
                <w:color w:val="000000"/>
                <w:sz w:val="22"/>
                <w:szCs w:val="22"/>
                <w:lang w:eastAsia="ru-RU"/>
              </w:rPr>
            </w:pPr>
            <w:r>
              <w:rPr>
                <w:rFonts w:ascii="Calibri" w:hAnsi="Calibri"/>
                <w:color w:val="000000"/>
                <w:sz w:val="22"/>
                <w:szCs w:val="22"/>
              </w:rPr>
              <w:t>4,0%</w:t>
            </w:r>
          </w:p>
        </w:tc>
        <w:tc>
          <w:tcPr>
            <w:tcW w:w="660" w:type="pct"/>
            <w:gridSpan w:val="2"/>
            <w:tcBorders>
              <w:top w:val="nil"/>
              <w:left w:val="nil"/>
              <w:bottom w:val="single" w:sz="8" w:space="0" w:color="auto"/>
              <w:right w:val="single" w:sz="8" w:space="0" w:color="auto"/>
            </w:tcBorders>
            <w:shd w:val="clear" w:color="auto" w:fill="auto"/>
            <w:vAlign w:val="center"/>
            <w:hideMark/>
          </w:tcPr>
          <w:p w:rsidR="00A01E73" w:rsidRDefault="00A01E73" w:rsidP="00A01E73">
            <w:pPr>
              <w:jc w:val="center"/>
              <w:rPr>
                <w:rFonts w:ascii="Calibri" w:hAnsi="Calibri"/>
                <w:color w:val="000000"/>
                <w:sz w:val="22"/>
                <w:szCs w:val="22"/>
              </w:rPr>
            </w:pPr>
            <w:r>
              <w:rPr>
                <w:rFonts w:ascii="Calibri" w:hAnsi="Calibri"/>
                <w:color w:val="000000"/>
                <w:sz w:val="22"/>
                <w:szCs w:val="22"/>
              </w:rPr>
              <w:t>4,85%</w:t>
            </w:r>
          </w:p>
        </w:tc>
        <w:tc>
          <w:tcPr>
            <w:tcW w:w="680" w:type="pct"/>
            <w:tcBorders>
              <w:top w:val="nil"/>
              <w:left w:val="nil"/>
              <w:bottom w:val="single" w:sz="8" w:space="0" w:color="auto"/>
              <w:right w:val="single" w:sz="8" w:space="0" w:color="auto"/>
            </w:tcBorders>
            <w:shd w:val="clear" w:color="auto" w:fill="auto"/>
            <w:noWrap/>
            <w:vAlign w:val="bottom"/>
            <w:hideMark/>
          </w:tcPr>
          <w:p w:rsidR="00A01E73" w:rsidRDefault="00A01E73" w:rsidP="00A01E73">
            <w:pPr>
              <w:jc w:val="center"/>
              <w:rPr>
                <w:rFonts w:ascii="Calibri" w:hAnsi="Calibri"/>
                <w:color w:val="000000"/>
                <w:sz w:val="22"/>
                <w:szCs w:val="22"/>
              </w:rPr>
            </w:pPr>
            <w:r>
              <w:rPr>
                <w:rFonts w:ascii="Calibri" w:hAnsi="Calibri"/>
                <w:color w:val="000000"/>
                <w:sz w:val="22"/>
                <w:szCs w:val="22"/>
              </w:rPr>
              <w:t>5,75%</w:t>
            </w:r>
          </w:p>
        </w:tc>
      </w:tr>
      <w:tr w:rsidR="00A01E73" w:rsidRPr="006366FD" w:rsidTr="00741488">
        <w:trPr>
          <w:trHeight w:val="300"/>
        </w:trPr>
        <w:tc>
          <w:tcPr>
            <w:tcW w:w="129" w:type="pct"/>
            <w:tcBorders>
              <w:top w:val="nil"/>
              <w:left w:val="nil"/>
              <w:bottom w:val="nil"/>
              <w:right w:val="nil"/>
            </w:tcBorders>
            <w:shd w:val="clear" w:color="auto" w:fill="auto"/>
            <w:noWrap/>
            <w:vAlign w:val="bottom"/>
            <w:hideMark/>
          </w:tcPr>
          <w:p w:rsidR="00A01E73" w:rsidRPr="006366FD" w:rsidRDefault="00A01E73" w:rsidP="00A01E73">
            <w:pPr>
              <w:jc w:val="center"/>
              <w:rPr>
                <w:rFonts w:ascii="Calibri" w:hAnsi="Calibri"/>
                <w:color w:val="000000"/>
                <w:sz w:val="22"/>
                <w:szCs w:val="22"/>
                <w:lang w:val="ru-RU" w:eastAsia="ru-RU"/>
              </w:rPr>
            </w:pPr>
          </w:p>
        </w:tc>
        <w:tc>
          <w:tcPr>
            <w:tcW w:w="852" w:type="pct"/>
            <w:vMerge/>
            <w:tcBorders>
              <w:top w:val="nil"/>
              <w:left w:val="single" w:sz="8" w:space="0" w:color="auto"/>
              <w:bottom w:val="single" w:sz="8" w:space="0" w:color="000000"/>
              <w:right w:val="single" w:sz="8" w:space="0" w:color="auto"/>
            </w:tcBorders>
            <w:vAlign w:val="center"/>
            <w:hideMark/>
          </w:tcPr>
          <w:p w:rsidR="00A01E73" w:rsidRPr="006366FD" w:rsidRDefault="00A01E73" w:rsidP="00A01E73">
            <w:pPr>
              <w:ind w:left="-718"/>
              <w:rPr>
                <w:rFonts w:ascii="Calibri" w:hAnsi="Calibri"/>
                <w:color w:val="000000"/>
                <w:sz w:val="22"/>
                <w:szCs w:val="22"/>
                <w:lang w:val="ru-RU" w:eastAsia="ru-RU"/>
              </w:rPr>
            </w:pPr>
          </w:p>
        </w:tc>
        <w:tc>
          <w:tcPr>
            <w:tcW w:w="725" w:type="pct"/>
            <w:vMerge/>
            <w:tcBorders>
              <w:top w:val="single" w:sz="8" w:space="0" w:color="auto"/>
              <w:left w:val="single" w:sz="8" w:space="0" w:color="auto"/>
              <w:bottom w:val="single" w:sz="8" w:space="0" w:color="000000"/>
              <w:right w:val="nil"/>
            </w:tcBorders>
            <w:vAlign w:val="center"/>
            <w:hideMark/>
          </w:tcPr>
          <w:p w:rsidR="00A01E73" w:rsidRPr="006366FD" w:rsidRDefault="00A01E73" w:rsidP="00A01E73">
            <w:pPr>
              <w:ind w:left="-718"/>
              <w:rPr>
                <w:rFonts w:ascii="Calibri" w:hAnsi="Calibri"/>
                <w:color w:val="000000"/>
                <w:sz w:val="22"/>
                <w:szCs w:val="22"/>
                <w:lang w:val="ru-RU" w:eastAsia="ru-RU"/>
              </w:rPr>
            </w:pPr>
          </w:p>
        </w:tc>
        <w:tc>
          <w:tcPr>
            <w:tcW w:w="1171" w:type="pct"/>
            <w:gridSpan w:val="2"/>
            <w:tcBorders>
              <w:top w:val="single" w:sz="8" w:space="0" w:color="auto"/>
              <w:left w:val="single" w:sz="8" w:space="0" w:color="auto"/>
              <w:bottom w:val="nil"/>
              <w:right w:val="nil"/>
            </w:tcBorders>
            <w:shd w:val="clear" w:color="auto" w:fill="auto"/>
            <w:vAlign w:val="center"/>
            <w:hideMark/>
          </w:tcPr>
          <w:p w:rsidR="00A01E73" w:rsidRPr="006366FD" w:rsidRDefault="00A01E73" w:rsidP="00A01E73">
            <w:pPr>
              <w:jc w:val="both"/>
              <w:rPr>
                <w:rFonts w:ascii="Calibri" w:hAnsi="Calibri"/>
                <w:color w:val="000000"/>
                <w:sz w:val="22"/>
                <w:szCs w:val="22"/>
                <w:lang w:val="ru-RU" w:eastAsia="ru-RU"/>
              </w:rPr>
            </w:pPr>
            <w:r w:rsidRPr="006366FD">
              <w:rPr>
                <w:rFonts w:ascii="Calibri" w:hAnsi="Calibri"/>
                <w:color w:val="000000"/>
                <w:sz w:val="22"/>
                <w:szCs w:val="22"/>
                <w:lang w:val="ru-RU" w:eastAsia="ru-RU"/>
              </w:rPr>
              <w:t>150 Квт/ч ‹ 1 млн. Квт/ч</w:t>
            </w:r>
          </w:p>
        </w:tc>
        <w:tc>
          <w:tcPr>
            <w:tcW w:w="783" w:type="pct"/>
            <w:tcBorders>
              <w:top w:val="nil"/>
              <w:left w:val="single" w:sz="8" w:space="0" w:color="auto"/>
              <w:bottom w:val="single" w:sz="8" w:space="0" w:color="auto"/>
              <w:right w:val="single" w:sz="8" w:space="0" w:color="auto"/>
            </w:tcBorders>
            <w:shd w:val="clear" w:color="auto" w:fill="auto"/>
            <w:vAlign w:val="center"/>
            <w:hideMark/>
          </w:tcPr>
          <w:p w:rsidR="00A01E73" w:rsidRDefault="00A01E73" w:rsidP="00A01E73">
            <w:pPr>
              <w:jc w:val="center"/>
              <w:rPr>
                <w:rFonts w:ascii="Calibri" w:hAnsi="Calibri"/>
                <w:color w:val="000000"/>
                <w:sz w:val="22"/>
                <w:szCs w:val="22"/>
                <w:lang w:eastAsia="ru-RU"/>
              </w:rPr>
            </w:pPr>
            <w:r>
              <w:rPr>
                <w:rFonts w:ascii="Calibri" w:hAnsi="Calibri"/>
                <w:color w:val="000000"/>
                <w:sz w:val="22"/>
                <w:szCs w:val="22"/>
              </w:rPr>
              <w:t>3,00%</w:t>
            </w:r>
          </w:p>
        </w:tc>
        <w:tc>
          <w:tcPr>
            <w:tcW w:w="660" w:type="pct"/>
            <w:gridSpan w:val="2"/>
            <w:tcBorders>
              <w:top w:val="nil"/>
              <w:left w:val="nil"/>
              <w:bottom w:val="single" w:sz="8" w:space="0" w:color="auto"/>
              <w:right w:val="single" w:sz="8" w:space="0" w:color="auto"/>
            </w:tcBorders>
            <w:shd w:val="clear" w:color="auto" w:fill="auto"/>
            <w:noWrap/>
            <w:vAlign w:val="center"/>
            <w:hideMark/>
          </w:tcPr>
          <w:p w:rsidR="00A01E73" w:rsidRDefault="00A01E73" w:rsidP="00A01E73">
            <w:pPr>
              <w:jc w:val="center"/>
              <w:rPr>
                <w:rFonts w:ascii="Calibri" w:hAnsi="Calibri"/>
                <w:color w:val="000000"/>
                <w:sz w:val="22"/>
                <w:szCs w:val="22"/>
              </w:rPr>
            </w:pPr>
            <w:r>
              <w:rPr>
                <w:rFonts w:ascii="Calibri" w:hAnsi="Calibri"/>
                <w:color w:val="000000"/>
                <w:sz w:val="22"/>
                <w:szCs w:val="22"/>
              </w:rPr>
              <w:t>3,85%</w:t>
            </w:r>
          </w:p>
        </w:tc>
        <w:tc>
          <w:tcPr>
            <w:tcW w:w="680" w:type="pct"/>
            <w:tcBorders>
              <w:top w:val="nil"/>
              <w:left w:val="nil"/>
              <w:bottom w:val="single" w:sz="8" w:space="0" w:color="auto"/>
              <w:right w:val="single" w:sz="8" w:space="0" w:color="auto"/>
            </w:tcBorders>
            <w:shd w:val="clear" w:color="auto" w:fill="auto"/>
            <w:noWrap/>
            <w:vAlign w:val="bottom"/>
            <w:hideMark/>
          </w:tcPr>
          <w:p w:rsidR="00A01E73" w:rsidRDefault="00A01E73" w:rsidP="00A01E73">
            <w:pPr>
              <w:jc w:val="center"/>
              <w:rPr>
                <w:rFonts w:ascii="Calibri" w:hAnsi="Calibri"/>
                <w:color w:val="000000"/>
                <w:sz w:val="22"/>
                <w:szCs w:val="22"/>
              </w:rPr>
            </w:pPr>
            <w:r>
              <w:rPr>
                <w:rFonts w:ascii="Calibri" w:hAnsi="Calibri"/>
                <w:color w:val="000000"/>
                <w:sz w:val="22"/>
                <w:szCs w:val="22"/>
              </w:rPr>
              <w:t>4,75%</w:t>
            </w:r>
          </w:p>
        </w:tc>
      </w:tr>
      <w:tr w:rsidR="00A01E73" w:rsidRPr="006366FD" w:rsidTr="00741488">
        <w:trPr>
          <w:trHeight w:val="300"/>
        </w:trPr>
        <w:tc>
          <w:tcPr>
            <w:tcW w:w="129" w:type="pct"/>
            <w:tcBorders>
              <w:top w:val="nil"/>
              <w:left w:val="nil"/>
              <w:bottom w:val="nil"/>
              <w:right w:val="nil"/>
            </w:tcBorders>
            <w:shd w:val="clear" w:color="auto" w:fill="auto"/>
            <w:noWrap/>
            <w:vAlign w:val="bottom"/>
            <w:hideMark/>
          </w:tcPr>
          <w:p w:rsidR="00A01E73" w:rsidRPr="006366FD" w:rsidRDefault="00A01E73" w:rsidP="00A01E73">
            <w:pPr>
              <w:jc w:val="center"/>
              <w:rPr>
                <w:rFonts w:ascii="Calibri" w:hAnsi="Calibri"/>
                <w:color w:val="000000"/>
                <w:sz w:val="22"/>
                <w:szCs w:val="22"/>
                <w:lang w:val="ru-RU" w:eastAsia="ru-RU"/>
              </w:rPr>
            </w:pPr>
          </w:p>
        </w:tc>
        <w:tc>
          <w:tcPr>
            <w:tcW w:w="852" w:type="pct"/>
            <w:vMerge/>
            <w:tcBorders>
              <w:top w:val="nil"/>
              <w:left w:val="single" w:sz="8" w:space="0" w:color="auto"/>
              <w:bottom w:val="single" w:sz="8" w:space="0" w:color="000000"/>
              <w:right w:val="single" w:sz="8" w:space="0" w:color="auto"/>
            </w:tcBorders>
            <w:vAlign w:val="center"/>
            <w:hideMark/>
          </w:tcPr>
          <w:p w:rsidR="00A01E73" w:rsidRPr="006366FD" w:rsidRDefault="00A01E73" w:rsidP="00A01E73">
            <w:pPr>
              <w:ind w:left="-718"/>
              <w:rPr>
                <w:rFonts w:ascii="Calibri" w:hAnsi="Calibri"/>
                <w:color w:val="000000"/>
                <w:sz w:val="22"/>
                <w:szCs w:val="22"/>
                <w:lang w:val="ru-RU" w:eastAsia="ru-RU"/>
              </w:rPr>
            </w:pPr>
          </w:p>
        </w:tc>
        <w:tc>
          <w:tcPr>
            <w:tcW w:w="725" w:type="pct"/>
            <w:vMerge/>
            <w:tcBorders>
              <w:top w:val="single" w:sz="8" w:space="0" w:color="auto"/>
              <w:left w:val="single" w:sz="8" w:space="0" w:color="auto"/>
              <w:bottom w:val="single" w:sz="8" w:space="0" w:color="000000"/>
              <w:right w:val="nil"/>
            </w:tcBorders>
            <w:vAlign w:val="center"/>
            <w:hideMark/>
          </w:tcPr>
          <w:p w:rsidR="00A01E73" w:rsidRPr="006366FD" w:rsidRDefault="00A01E73" w:rsidP="00A01E73">
            <w:pPr>
              <w:ind w:left="-718"/>
              <w:rPr>
                <w:rFonts w:ascii="Calibri" w:hAnsi="Calibri"/>
                <w:color w:val="000000"/>
                <w:sz w:val="22"/>
                <w:szCs w:val="22"/>
                <w:lang w:val="ru-RU" w:eastAsia="ru-RU"/>
              </w:rPr>
            </w:pPr>
          </w:p>
        </w:tc>
        <w:tc>
          <w:tcPr>
            <w:tcW w:w="1171" w:type="pct"/>
            <w:gridSpan w:val="2"/>
            <w:tcBorders>
              <w:top w:val="single" w:sz="8" w:space="0" w:color="auto"/>
              <w:left w:val="single" w:sz="8" w:space="0" w:color="auto"/>
              <w:bottom w:val="single" w:sz="8" w:space="0" w:color="auto"/>
              <w:right w:val="nil"/>
            </w:tcBorders>
            <w:shd w:val="clear" w:color="auto" w:fill="auto"/>
            <w:vAlign w:val="center"/>
            <w:hideMark/>
          </w:tcPr>
          <w:p w:rsidR="00A01E73" w:rsidRPr="006366FD" w:rsidRDefault="00A01E73" w:rsidP="00A01E73">
            <w:pPr>
              <w:jc w:val="both"/>
              <w:rPr>
                <w:rFonts w:ascii="Calibri" w:hAnsi="Calibri"/>
                <w:color w:val="000000"/>
                <w:sz w:val="22"/>
                <w:szCs w:val="22"/>
                <w:lang w:val="ru-RU" w:eastAsia="ru-RU"/>
              </w:rPr>
            </w:pPr>
            <w:r w:rsidRPr="006366FD">
              <w:rPr>
                <w:rFonts w:ascii="Calibri" w:hAnsi="Calibri"/>
                <w:color w:val="000000"/>
                <w:sz w:val="22"/>
                <w:szCs w:val="22"/>
                <w:lang w:val="ru-RU" w:eastAsia="ru-RU"/>
              </w:rPr>
              <w:t>1 млн. Квт/ч ‹ 10 млн. Квт/ч</w:t>
            </w:r>
          </w:p>
        </w:tc>
        <w:tc>
          <w:tcPr>
            <w:tcW w:w="783" w:type="pct"/>
            <w:tcBorders>
              <w:top w:val="nil"/>
              <w:left w:val="single" w:sz="8" w:space="0" w:color="auto"/>
              <w:bottom w:val="single" w:sz="8" w:space="0" w:color="auto"/>
              <w:right w:val="single" w:sz="8" w:space="0" w:color="auto"/>
            </w:tcBorders>
            <w:shd w:val="clear" w:color="auto" w:fill="auto"/>
            <w:vAlign w:val="center"/>
            <w:hideMark/>
          </w:tcPr>
          <w:p w:rsidR="00A01E73" w:rsidRDefault="00A01E73" w:rsidP="000A2C68">
            <w:pPr>
              <w:jc w:val="center"/>
              <w:rPr>
                <w:rFonts w:ascii="Calibri" w:hAnsi="Calibri"/>
                <w:color w:val="000000"/>
                <w:sz w:val="22"/>
                <w:szCs w:val="22"/>
              </w:rPr>
            </w:pPr>
            <w:r>
              <w:rPr>
                <w:rFonts w:ascii="Calibri" w:hAnsi="Calibri"/>
                <w:color w:val="000000"/>
                <w:sz w:val="22"/>
                <w:szCs w:val="22"/>
              </w:rPr>
              <w:t>2,</w:t>
            </w:r>
            <w:r w:rsidR="000A2C68">
              <w:rPr>
                <w:rFonts w:ascii="Calibri" w:hAnsi="Calibri"/>
                <w:color w:val="000000"/>
                <w:sz w:val="22"/>
                <w:szCs w:val="22"/>
              </w:rPr>
              <w:t>25</w:t>
            </w:r>
            <w:r>
              <w:rPr>
                <w:rFonts w:ascii="Calibri" w:hAnsi="Calibri"/>
                <w:color w:val="000000"/>
                <w:sz w:val="22"/>
                <w:szCs w:val="22"/>
              </w:rPr>
              <w:t>%</w:t>
            </w:r>
          </w:p>
        </w:tc>
        <w:tc>
          <w:tcPr>
            <w:tcW w:w="660" w:type="pct"/>
            <w:gridSpan w:val="2"/>
            <w:tcBorders>
              <w:top w:val="nil"/>
              <w:left w:val="nil"/>
              <w:bottom w:val="single" w:sz="8" w:space="0" w:color="auto"/>
              <w:right w:val="single" w:sz="8" w:space="0" w:color="auto"/>
            </w:tcBorders>
            <w:shd w:val="clear" w:color="auto" w:fill="auto"/>
            <w:noWrap/>
            <w:vAlign w:val="center"/>
            <w:hideMark/>
          </w:tcPr>
          <w:p w:rsidR="00A01E73" w:rsidRDefault="00A01E73" w:rsidP="00A01E73">
            <w:pPr>
              <w:jc w:val="center"/>
              <w:rPr>
                <w:rFonts w:ascii="Calibri" w:hAnsi="Calibri"/>
                <w:color w:val="000000"/>
                <w:sz w:val="22"/>
                <w:szCs w:val="22"/>
              </w:rPr>
            </w:pPr>
            <w:r>
              <w:rPr>
                <w:rFonts w:ascii="Calibri" w:hAnsi="Calibri"/>
                <w:color w:val="000000"/>
                <w:sz w:val="22"/>
                <w:szCs w:val="22"/>
              </w:rPr>
              <w:t>2,85%</w:t>
            </w:r>
          </w:p>
        </w:tc>
        <w:tc>
          <w:tcPr>
            <w:tcW w:w="680" w:type="pct"/>
            <w:tcBorders>
              <w:top w:val="nil"/>
              <w:left w:val="nil"/>
              <w:bottom w:val="single" w:sz="8" w:space="0" w:color="auto"/>
              <w:right w:val="single" w:sz="8" w:space="0" w:color="auto"/>
            </w:tcBorders>
            <w:shd w:val="clear" w:color="auto" w:fill="auto"/>
            <w:noWrap/>
            <w:vAlign w:val="bottom"/>
            <w:hideMark/>
          </w:tcPr>
          <w:p w:rsidR="00A01E73" w:rsidRDefault="00A01E73" w:rsidP="00A01E73">
            <w:pPr>
              <w:jc w:val="center"/>
              <w:rPr>
                <w:rFonts w:ascii="Calibri" w:hAnsi="Calibri"/>
                <w:color w:val="000000"/>
                <w:sz w:val="22"/>
                <w:szCs w:val="22"/>
              </w:rPr>
            </w:pPr>
            <w:r>
              <w:rPr>
                <w:rFonts w:ascii="Calibri" w:hAnsi="Calibri"/>
                <w:color w:val="000000"/>
                <w:sz w:val="22"/>
                <w:szCs w:val="22"/>
              </w:rPr>
              <w:t>3,75%</w:t>
            </w:r>
          </w:p>
        </w:tc>
      </w:tr>
      <w:tr w:rsidR="00A01E73" w:rsidRPr="006366FD" w:rsidTr="00741488">
        <w:trPr>
          <w:trHeight w:val="300"/>
        </w:trPr>
        <w:tc>
          <w:tcPr>
            <w:tcW w:w="129" w:type="pct"/>
            <w:tcBorders>
              <w:top w:val="nil"/>
              <w:left w:val="nil"/>
              <w:bottom w:val="nil"/>
              <w:right w:val="nil"/>
            </w:tcBorders>
            <w:shd w:val="clear" w:color="auto" w:fill="auto"/>
            <w:noWrap/>
            <w:vAlign w:val="bottom"/>
            <w:hideMark/>
          </w:tcPr>
          <w:p w:rsidR="00A01E73" w:rsidRPr="006366FD" w:rsidRDefault="00A01E73" w:rsidP="00A01E73">
            <w:pPr>
              <w:jc w:val="center"/>
              <w:rPr>
                <w:rFonts w:ascii="Calibri" w:hAnsi="Calibri"/>
                <w:color w:val="000000"/>
                <w:sz w:val="22"/>
                <w:szCs w:val="22"/>
                <w:lang w:val="ru-RU" w:eastAsia="ru-RU"/>
              </w:rPr>
            </w:pPr>
          </w:p>
        </w:tc>
        <w:tc>
          <w:tcPr>
            <w:tcW w:w="852" w:type="pct"/>
            <w:vMerge/>
            <w:tcBorders>
              <w:top w:val="nil"/>
              <w:left w:val="single" w:sz="8" w:space="0" w:color="auto"/>
              <w:bottom w:val="single" w:sz="8" w:space="0" w:color="000000"/>
              <w:right w:val="single" w:sz="8" w:space="0" w:color="auto"/>
            </w:tcBorders>
            <w:vAlign w:val="center"/>
            <w:hideMark/>
          </w:tcPr>
          <w:p w:rsidR="00A01E73" w:rsidRPr="006366FD" w:rsidRDefault="00A01E73" w:rsidP="00A01E73">
            <w:pPr>
              <w:ind w:left="-718"/>
              <w:rPr>
                <w:rFonts w:ascii="Calibri" w:hAnsi="Calibri"/>
                <w:color w:val="000000"/>
                <w:sz w:val="22"/>
                <w:szCs w:val="22"/>
                <w:lang w:val="ru-RU" w:eastAsia="ru-RU"/>
              </w:rPr>
            </w:pPr>
          </w:p>
        </w:tc>
        <w:tc>
          <w:tcPr>
            <w:tcW w:w="725" w:type="pct"/>
            <w:vMerge/>
            <w:tcBorders>
              <w:top w:val="single" w:sz="8" w:space="0" w:color="auto"/>
              <w:left w:val="single" w:sz="8" w:space="0" w:color="auto"/>
              <w:bottom w:val="single" w:sz="8" w:space="0" w:color="000000"/>
              <w:right w:val="nil"/>
            </w:tcBorders>
            <w:vAlign w:val="center"/>
            <w:hideMark/>
          </w:tcPr>
          <w:p w:rsidR="00A01E73" w:rsidRPr="006366FD" w:rsidRDefault="00A01E73" w:rsidP="00A01E73">
            <w:pPr>
              <w:ind w:left="-718"/>
              <w:rPr>
                <w:rFonts w:ascii="Calibri" w:hAnsi="Calibri"/>
                <w:color w:val="000000"/>
                <w:sz w:val="22"/>
                <w:szCs w:val="22"/>
                <w:lang w:val="ru-RU" w:eastAsia="ru-RU"/>
              </w:rPr>
            </w:pPr>
          </w:p>
        </w:tc>
        <w:tc>
          <w:tcPr>
            <w:tcW w:w="1171" w:type="pct"/>
            <w:gridSpan w:val="2"/>
            <w:tcBorders>
              <w:top w:val="nil"/>
              <w:left w:val="single" w:sz="8" w:space="0" w:color="auto"/>
              <w:bottom w:val="single" w:sz="8" w:space="0" w:color="auto"/>
              <w:right w:val="nil"/>
            </w:tcBorders>
            <w:shd w:val="clear" w:color="auto" w:fill="auto"/>
            <w:vAlign w:val="center"/>
            <w:hideMark/>
          </w:tcPr>
          <w:p w:rsidR="00A01E73" w:rsidRPr="006366FD" w:rsidRDefault="00A01E73" w:rsidP="00A01E73">
            <w:pPr>
              <w:jc w:val="both"/>
              <w:rPr>
                <w:rFonts w:ascii="Calibri" w:hAnsi="Calibri"/>
                <w:color w:val="000000"/>
                <w:sz w:val="22"/>
                <w:szCs w:val="22"/>
                <w:lang w:val="ru-RU" w:eastAsia="ru-RU"/>
              </w:rPr>
            </w:pPr>
            <w:r w:rsidRPr="006366FD">
              <w:rPr>
                <w:rFonts w:ascii="Calibri" w:hAnsi="Calibri"/>
                <w:color w:val="000000"/>
                <w:sz w:val="22"/>
                <w:szCs w:val="22"/>
                <w:lang w:val="ru-RU" w:eastAsia="ru-RU"/>
              </w:rPr>
              <w:t xml:space="preserve">10 млн. Квт/ч та </w:t>
            </w:r>
            <w:proofErr w:type="spellStart"/>
            <w:r w:rsidRPr="006366FD">
              <w:rPr>
                <w:rFonts w:ascii="Calibri" w:hAnsi="Calibri"/>
                <w:color w:val="000000"/>
                <w:sz w:val="22"/>
                <w:szCs w:val="22"/>
                <w:lang w:val="ru-RU" w:eastAsia="ru-RU"/>
              </w:rPr>
              <w:t>більше</w:t>
            </w:r>
            <w:proofErr w:type="spellEnd"/>
          </w:p>
        </w:tc>
        <w:tc>
          <w:tcPr>
            <w:tcW w:w="783" w:type="pct"/>
            <w:tcBorders>
              <w:top w:val="nil"/>
              <w:left w:val="single" w:sz="8" w:space="0" w:color="auto"/>
              <w:bottom w:val="single" w:sz="8" w:space="0" w:color="auto"/>
              <w:right w:val="single" w:sz="8" w:space="0" w:color="auto"/>
            </w:tcBorders>
            <w:shd w:val="clear" w:color="auto" w:fill="auto"/>
            <w:vAlign w:val="center"/>
            <w:hideMark/>
          </w:tcPr>
          <w:p w:rsidR="00A01E73" w:rsidRDefault="00A01E73" w:rsidP="000A2C68">
            <w:pPr>
              <w:jc w:val="center"/>
              <w:rPr>
                <w:rFonts w:ascii="Calibri" w:hAnsi="Calibri"/>
                <w:color w:val="000000"/>
                <w:sz w:val="22"/>
                <w:szCs w:val="22"/>
              </w:rPr>
            </w:pPr>
            <w:r>
              <w:rPr>
                <w:rFonts w:ascii="Calibri" w:hAnsi="Calibri"/>
                <w:color w:val="000000"/>
                <w:sz w:val="22"/>
                <w:szCs w:val="22"/>
              </w:rPr>
              <w:t>1,</w:t>
            </w:r>
            <w:r w:rsidR="000A2C68">
              <w:rPr>
                <w:rFonts w:ascii="Calibri" w:hAnsi="Calibri"/>
                <w:color w:val="000000"/>
                <w:sz w:val="22"/>
                <w:szCs w:val="22"/>
              </w:rPr>
              <w:t>95</w:t>
            </w:r>
            <w:r>
              <w:rPr>
                <w:rFonts w:ascii="Calibri" w:hAnsi="Calibri"/>
                <w:color w:val="000000"/>
                <w:sz w:val="22"/>
                <w:szCs w:val="22"/>
              </w:rPr>
              <w:t>%</w:t>
            </w:r>
          </w:p>
        </w:tc>
        <w:tc>
          <w:tcPr>
            <w:tcW w:w="660" w:type="pct"/>
            <w:gridSpan w:val="2"/>
            <w:tcBorders>
              <w:top w:val="nil"/>
              <w:left w:val="nil"/>
              <w:bottom w:val="single" w:sz="8" w:space="0" w:color="auto"/>
              <w:right w:val="single" w:sz="8" w:space="0" w:color="auto"/>
            </w:tcBorders>
            <w:shd w:val="clear" w:color="auto" w:fill="auto"/>
            <w:noWrap/>
            <w:vAlign w:val="center"/>
            <w:hideMark/>
          </w:tcPr>
          <w:p w:rsidR="00A01E73" w:rsidRDefault="000A2C68" w:rsidP="000A2C68">
            <w:pPr>
              <w:jc w:val="center"/>
              <w:rPr>
                <w:rFonts w:ascii="Calibri" w:hAnsi="Calibri"/>
                <w:color w:val="000000"/>
                <w:sz w:val="22"/>
                <w:szCs w:val="22"/>
              </w:rPr>
            </w:pPr>
            <w:r>
              <w:rPr>
                <w:rFonts w:ascii="Calibri" w:hAnsi="Calibri"/>
                <w:color w:val="000000"/>
                <w:sz w:val="22"/>
                <w:szCs w:val="22"/>
              </w:rPr>
              <w:t>2</w:t>
            </w:r>
            <w:r w:rsidR="00A01E73">
              <w:rPr>
                <w:rFonts w:ascii="Calibri" w:hAnsi="Calibri"/>
                <w:color w:val="000000"/>
                <w:sz w:val="22"/>
                <w:szCs w:val="22"/>
              </w:rPr>
              <w:t>,</w:t>
            </w:r>
            <w:r>
              <w:rPr>
                <w:rFonts w:ascii="Calibri" w:hAnsi="Calibri"/>
                <w:color w:val="000000"/>
                <w:sz w:val="22"/>
                <w:szCs w:val="22"/>
              </w:rPr>
              <w:t>5</w:t>
            </w:r>
            <w:r w:rsidR="00A01E73">
              <w:rPr>
                <w:rFonts w:ascii="Calibri" w:hAnsi="Calibri"/>
                <w:color w:val="000000"/>
                <w:sz w:val="22"/>
                <w:szCs w:val="22"/>
              </w:rPr>
              <w:t>%</w:t>
            </w:r>
          </w:p>
        </w:tc>
        <w:tc>
          <w:tcPr>
            <w:tcW w:w="680" w:type="pct"/>
            <w:tcBorders>
              <w:top w:val="nil"/>
              <w:left w:val="nil"/>
              <w:bottom w:val="single" w:sz="8" w:space="0" w:color="auto"/>
              <w:right w:val="single" w:sz="8" w:space="0" w:color="auto"/>
            </w:tcBorders>
            <w:shd w:val="clear" w:color="auto" w:fill="auto"/>
            <w:noWrap/>
            <w:vAlign w:val="bottom"/>
            <w:hideMark/>
          </w:tcPr>
          <w:p w:rsidR="00A01E73" w:rsidRDefault="00A01E73" w:rsidP="00A01E73">
            <w:pPr>
              <w:jc w:val="center"/>
              <w:rPr>
                <w:rFonts w:ascii="Calibri" w:hAnsi="Calibri"/>
                <w:color w:val="000000"/>
                <w:sz w:val="22"/>
                <w:szCs w:val="22"/>
              </w:rPr>
            </w:pPr>
            <w:r>
              <w:rPr>
                <w:rFonts w:ascii="Calibri" w:hAnsi="Calibri"/>
                <w:color w:val="000000"/>
                <w:sz w:val="22"/>
                <w:szCs w:val="22"/>
              </w:rPr>
              <w:t>2</w:t>
            </w:r>
            <w:r w:rsidR="000A2C68">
              <w:rPr>
                <w:rFonts w:ascii="Calibri" w:hAnsi="Calibri"/>
                <w:color w:val="000000"/>
                <w:sz w:val="22"/>
                <w:szCs w:val="22"/>
              </w:rPr>
              <w:t>,8</w:t>
            </w:r>
            <w:r>
              <w:rPr>
                <w:rFonts w:ascii="Calibri" w:hAnsi="Calibri"/>
                <w:color w:val="000000"/>
                <w:sz w:val="22"/>
                <w:szCs w:val="22"/>
              </w:rPr>
              <w:t>5%</w:t>
            </w:r>
          </w:p>
        </w:tc>
      </w:tr>
    </w:tbl>
    <w:p w:rsidR="00F5221A" w:rsidRPr="00A03112" w:rsidRDefault="00F5221A" w:rsidP="002227C9">
      <w:pPr>
        <w:autoSpaceDE w:val="0"/>
        <w:autoSpaceDN w:val="0"/>
        <w:adjustRightInd w:val="0"/>
        <w:rPr>
          <w:sz w:val="22"/>
          <w:szCs w:val="22"/>
        </w:rPr>
      </w:pPr>
    </w:p>
    <w:sectPr w:rsidR="00F5221A" w:rsidRPr="00A03112" w:rsidSect="006C76F4">
      <w:pgSz w:w="11906" w:h="16838" w:code="9"/>
      <w:pgMar w:top="737" w:right="851" w:bottom="1134" w:left="1701" w:header="1304" w:footer="119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D40"/>
    <w:multiLevelType w:val="hybridMultilevel"/>
    <w:tmpl w:val="D7C095E0"/>
    <w:lvl w:ilvl="0" w:tplc="24E858A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2B422B29"/>
    <w:multiLevelType w:val="hybridMultilevel"/>
    <w:tmpl w:val="23C80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207EEC"/>
    <w:multiLevelType w:val="hybridMultilevel"/>
    <w:tmpl w:val="23C80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3F05BF"/>
    <w:multiLevelType w:val="hybridMultilevel"/>
    <w:tmpl w:val="C3E6C964"/>
    <w:lvl w:ilvl="0" w:tplc="23B41876">
      <w:start w:val="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0617B2D"/>
    <w:multiLevelType w:val="hybridMultilevel"/>
    <w:tmpl w:val="1B0AA5FE"/>
    <w:lvl w:ilvl="0" w:tplc="97E220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7D"/>
    <w:rsid w:val="00007E2C"/>
    <w:rsid w:val="00020174"/>
    <w:rsid w:val="0002087D"/>
    <w:rsid w:val="00031536"/>
    <w:rsid w:val="00034353"/>
    <w:rsid w:val="00083351"/>
    <w:rsid w:val="000A2C68"/>
    <w:rsid w:val="000A5C1C"/>
    <w:rsid w:val="000B1545"/>
    <w:rsid w:val="000D5697"/>
    <w:rsid w:val="000E7542"/>
    <w:rsid w:val="00116483"/>
    <w:rsid w:val="00121664"/>
    <w:rsid w:val="00197F7D"/>
    <w:rsid w:val="001A4EDB"/>
    <w:rsid w:val="001A5F5C"/>
    <w:rsid w:val="001B1AC5"/>
    <w:rsid w:val="001D5C21"/>
    <w:rsid w:val="001D7A26"/>
    <w:rsid w:val="002227C9"/>
    <w:rsid w:val="002777D0"/>
    <w:rsid w:val="002C555C"/>
    <w:rsid w:val="002D65C1"/>
    <w:rsid w:val="00331F14"/>
    <w:rsid w:val="00344DAF"/>
    <w:rsid w:val="00360DBA"/>
    <w:rsid w:val="00373142"/>
    <w:rsid w:val="003821D4"/>
    <w:rsid w:val="00453D0C"/>
    <w:rsid w:val="00485448"/>
    <w:rsid w:val="004A4867"/>
    <w:rsid w:val="004B2396"/>
    <w:rsid w:val="004F624C"/>
    <w:rsid w:val="0050091B"/>
    <w:rsid w:val="00502E78"/>
    <w:rsid w:val="00534309"/>
    <w:rsid w:val="00574025"/>
    <w:rsid w:val="00594577"/>
    <w:rsid w:val="0059677F"/>
    <w:rsid w:val="005F75D6"/>
    <w:rsid w:val="0061555A"/>
    <w:rsid w:val="006366FD"/>
    <w:rsid w:val="00673F42"/>
    <w:rsid w:val="006A38FA"/>
    <w:rsid w:val="006B01A6"/>
    <w:rsid w:val="006C76F4"/>
    <w:rsid w:val="006D4B82"/>
    <w:rsid w:val="006E54C3"/>
    <w:rsid w:val="00741488"/>
    <w:rsid w:val="00792337"/>
    <w:rsid w:val="007B5608"/>
    <w:rsid w:val="007B76FA"/>
    <w:rsid w:val="00801B60"/>
    <w:rsid w:val="00865239"/>
    <w:rsid w:val="00875361"/>
    <w:rsid w:val="00896ADE"/>
    <w:rsid w:val="008A782E"/>
    <w:rsid w:val="008F57E4"/>
    <w:rsid w:val="00927D68"/>
    <w:rsid w:val="0093437B"/>
    <w:rsid w:val="00966A3D"/>
    <w:rsid w:val="009A52A8"/>
    <w:rsid w:val="009A7715"/>
    <w:rsid w:val="009C5075"/>
    <w:rsid w:val="009C63F5"/>
    <w:rsid w:val="009F514F"/>
    <w:rsid w:val="00A00B0F"/>
    <w:rsid w:val="00A01E73"/>
    <w:rsid w:val="00A03112"/>
    <w:rsid w:val="00A27D96"/>
    <w:rsid w:val="00A5651E"/>
    <w:rsid w:val="00A6627D"/>
    <w:rsid w:val="00A705BC"/>
    <w:rsid w:val="00A774DA"/>
    <w:rsid w:val="00A94DB0"/>
    <w:rsid w:val="00AF60D8"/>
    <w:rsid w:val="00B55C40"/>
    <w:rsid w:val="00B8711B"/>
    <w:rsid w:val="00B95966"/>
    <w:rsid w:val="00C4103F"/>
    <w:rsid w:val="00C472FE"/>
    <w:rsid w:val="00C8645A"/>
    <w:rsid w:val="00D67240"/>
    <w:rsid w:val="00D86CB9"/>
    <w:rsid w:val="00D93676"/>
    <w:rsid w:val="00DA1623"/>
    <w:rsid w:val="00DC0B6D"/>
    <w:rsid w:val="00E108F0"/>
    <w:rsid w:val="00E274BB"/>
    <w:rsid w:val="00E51640"/>
    <w:rsid w:val="00E6454D"/>
    <w:rsid w:val="00EB4CF1"/>
    <w:rsid w:val="00EC0826"/>
    <w:rsid w:val="00EE5963"/>
    <w:rsid w:val="00EF2539"/>
    <w:rsid w:val="00F07F4F"/>
    <w:rsid w:val="00F15ED1"/>
    <w:rsid w:val="00F3777D"/>
    <w:rsid w:val="00F5221A"/>
    <w:rsid w:val="00F76406"/>
    <w:rsid w:val="00F92412"/>
    <w:rsid w:val="00F94813"/>
    <w:rsid w:val="00FA1029"/>
    <w:rsid w:val="00FB62D9"/>
    <w:rsid w:val="00FD70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D151"/>
  <w15:chartTrackingRefBased/>
  <w15:docId w15:val="{2A752894-6FF6-418D-A584-4D24024A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27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A6627D"/>
    <w:rPr>
      <w:sz w:val="16"/>
      <w:szCs w:val="16"/>
    </w:rPr>
  </w:style>
  <w:style w:type="paragraph" w:styleId="a4">
    <w:name w:val="annotation text"/>
    <w:basedOn w:val="a"/>
    <w:link w:val="a5"/>
    <w:uiPriority w:val="99"/>
    <w:rsid w:val="00A6627D"/>
    <w:rPr>
      <w:sz w:val="20"/>
      <w:szCs w:val="20"/>
    </w:rPr>
  </w:style>
  <w:style w:type="character" w:customStyle="1" w:styleId="a5">
    <w:name w:val="Текст примечания Знак"/>
    <w:basedOn w:val="a0"/>
    <w:link w:val="a4"/>
    <w:uiPriority w:val="99"/>
    <w:rsid w:val="00A6627D"/>
    <w:rPr>
      <w:rFonts w:ascii="Times New Roman" w:eastAsia="Times New Roman" w:hAnsi="Times New Roman" w:cs="Times New Roman"/>
      <w:sz w:val="20"/>
      <w:szCs w:val="20"/>
      <w:lang w:eastAsia="uk-UA"/>
    </w:rPr>
  </w:style>
  <w:style w:type="paragraph" w:styleId="a6">
    <w:name w:val="List Paragraph"/>
    <w:basedOn w:val="a"/>
    <w:uiPriority w:val="34"/>
    <w:qFormat/>
    <w:rsid w:val="00A6627D"/>
    <w:pPr>
      <w:ind w:left="720"/>
      <w:contextualSpacing/>
    </w:pPr>
    <w:rPr>
      <w:rFonts w:ascii="Calibri" w:hAnsi="Calibri"/>
      <w:lang w:val="ru-RU" w:eastAsia="en-US"/>
    </w:rPr>
  </w:style>
  <w:style w:type="paragraph" w:styleId="a7">
    <w:name w:val="Plain Text"/>
    <w:basedOn w:val="a"/>
    <w:link w:val="a8"/>
    <w:uiPriority w:val="99"/>
    <w:semiHidden/>
    <w:unhideWhenUsed/>
    <w:rsid w:val="00A6627D"/>
    <w:rPr>
      <w:rFonts w:ascii="Calibri" w:eastAsiaTheme="minorHAnsi" w:hAnsi="Calibri" w:cs="Calibri"/>
      <w:sz w:val="22"/>
      <w:szCs w:val="22"/>
      <w:lang w:val="ru-RU" w:eastAsia="en-US"/>
    </w:rPr>
  </w:style>
  <w:style w:type="character" w:customStyle="1" w:styleId="a8">
    <w:name w:val="Текст Знак"/>
    <w:basedOn w:val="a0"/>
    <w:link w:val="a7"/>
    <w:uiPriority w:val="99"/>
    <w:semiHidden/>
    <w:rsid w:val="00A6627D"/>
    <w:rPr>
      <w:rFonts w:ascii="Calibri" w:hAnsi="Calibri" w:cs="Calibri"/>
      <w:lang w:val="ru-RU"/>
    </w:rPr>
  </w:style>
  <w:style w:type="paragraph" w:styleId="a9">
    <w:name w:val="Balloon Text"/>
    <w:basedOn w:val="a"/>
    <w:link w:val="aa"/>
    <w:uiPriority w:val="99"/>
    <w:semiHidden/>
    <w:unhideWhenUsed/>
    <w:rsid w:val="00A6627D"/>
    <w:rPr>
      <w:rFonts w:ascii="Segoe UI" w:hAnsi="Segoe UI" w:cs="Segoe UI"/>
      <w:sz w:val="18"/>
      <w:szCs w:val="18"/>
    </w:rPr>
  </w:style>
  <w:style w:type="character" w:customStyle="1" w:styleId="aa">
    <w:name w:val="Текст выноски Знак"/>
    <w:basedOn w:val="a0"/>
    <w:link w:val="a9"/>
    <w:uiPriority w:val="99"/>
    <w:semiHidden/>
    <w:rsid w:val="00A6627D"/>
    <w:rPr>
      <w:rFonts w:ascii="Segoe UI" w:eastAsia="Times New Roman" w:hAnsi="Segoe UI" w:cs="Segoe UI"/>
      <w:sz w:val="18"/>
      <w:szCs w:val="18"/>
      <w:lang w:eastAsia="uk-UA"/>
    </w:rPr>
  </w:style>
  <w:style w:type="character" w:styleId="ab">
    <w:name w:val="Hyperlink"/>
    <w:basedOn w:val="a0"/>
    <w:uiPriority w:val="99"/>
    <w:unhideWhenUsed/>
    <w:rsid w:val="009F5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dc:creator>
  <cp:keywords/>
  <dc:description/>
  <cp:lastModifiedBy>User</cp:lastModifiedBy>
  <cp:revision>2</cp:revision>
  <cp:lastPrinted>2021-01-28T13:18:00Z</cp:lastPrinted>
  <dcterms:created xsi:type="dcterms:W3CDTF">2022-01-11T09:31:00Z</dcterms:created>
  <dcterms:modified xsi:type="dcterms:W3CDTF">2022-01-11T09:31:00Z</dcterms:modified>
</cp:coreProperties>
</file>